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20" w:lineRule="exact"/>
        <w:ind w:firstLine="802" w:firstLineChars="223"/>
        <w:rPr>
          <w:rFonts w:ascii="华文细黑" w:hAnsi="华文细黑" w:eastAsia="华文细黑" w:cs="黑体"/>
          <w:color w:val="auto"/>
          <w:kern w:val="0"/>
          <w:sz w:val="36"/>
          <w:szCs w:val="36"/>
        </w:rPr>
      </w:pPr>
      <w:r>
        <w:rPr>
          <w:rFonts w:hint="eastAsia" w:ascii="华文细黑" w:hAnsi="华文细黑" w:eastAsia="华文细黑" w:cs="黑体"/>
          <w:color w:val="auto"/>
          <w:kern w:val="0"/>
          <w:sz w:val="36"/>
          <w:szCs w:val="36"/>
        </w:rPr>
        <w:t>东至县服务企业招工用工实施细则（试行）</w:t>
      </w:r>
    </w:p>
    <w:p>
      <w:pPr>
        <w:widowControl/>
        <w:spacing w:line="520" w:lineRule="exact"/>
        <w:ind w:firstLine="2700" w:firstLineChars="750"/>
        <w:rPr>
          <w:rFonts w:ascii="华文细黑" w:hAnsi="华文细黑" w:eastAsia="华文细黑" w:cs="黑体"/>
          <w:color w:val="auto"/>
          <w:kern w:val="0"/>
          <w:sz w:val="36"/>
          <w:szCs w:val="36"/>
        </w:rPr>
      </w:pPr>
      <w:r>
        <w:rPr>
          <w:rFonts w:hint="eastAsia" w:ascii="华文细黑" w:hAnsi="华文细黑" w:eastAsia="华文细黑" w:cs="黑体"/>
          <w:color w:val="auto"/>
          <w:kern w:val="0"/>
          <w:sz w:val="36"/>
          <w:szCs w:val="36"/>
        </w:rPr>
        <w:t>（征求意见稿）</w:t>
      </w:r>
    </w:p>
    <w:p>
      <w:pPr>
        <w:ind w:firstLine="640"/>
        <w:rPr>
          <w:rFonts w:ascii="华文仿宋" w:hAnsi="华文仿宋" w:eastAsia="华文仿宋" w:cs="仿宋_GB2312"/>
          <w:color w:val="auto"/>
          <w:sz w:val="32"/>
          <w:szCs w:val="32"/>
        </w:rPr>
      </w:pPr>
      <w:r>
        <w:rPr>
          <w:rFonts w:hint="eastAsia" w:ascii="华文仿宋" w:hAnsi="华文仿宋" w:eastAsia="华文仿宋" w:cs="仿宋_GB2312"/>
          <w:color w:val="auto"/>
          <w:sz w:val="32"/>
          <w:szCs w:val="32"/>
        </w:rPr>
        <w:t>为进一步提升人力资源服务水平，促进各类群体充分就业创业，帮助解决企业招工难、用工难、留工难问题，更好服务我县企业高质量发展。依据《关于加强企业用工服务缓解就业结构性矛盾若干实施意见》（皖人社秘[2022]16号）、《池州市人民政府办公室关于印发池州市服务园区企业招工用工实施意见（试行）的通知》(池政办秘〔2021〕113号)等文件精神，并结合我县实际，制定本实施细则。</w:t>
      </w:r>
    </w:p>
    <w:p>
      <w:pPr>
        <w:pStyle w:val="4"/>
        <w:ind w:firstLine="641"/>
        <w:jc w:val="both"/>
        <w:rPr>
          <w:rFonts w:hint="default" w:ascii="华文仿宋" w:hAnsi="华文仿宋" w:eastAsia="华文仿宋" w:cs="仿宋_GB2312"/>
          <w:b/>
          <w:bCs/>
          <w:color w:val="auto"/>
          <w:kern w:val="2"/>
          <w:sz w:val="32"/>
          <w:szCs w:val="32"/>
        </w:rPr>
      </w:pPr>
      <w:r>
        <w:rPr>
          <w:rFonts w:ascii="华文仿宋" w:hAnsi="华文仿宋" w:eastAsia="华文仿宋" w:cs="仿宋_GB2312"/>
          <w:b/>
          <w:bCs/>
          <w:color w:val="auto"/>
          <w:kern w:val="2"/>
          <w:sz w:val="32"/>
          <w:szCs w:val="32"/>
        </w:rPr>
        <w:t>一、</w:t>
      </w:r>
      <w:r>
        <w:rPr>
          <w:rFonts w:hint="default" w:ascii="华文仿宋" w:hAnsi="华文仿宋" w:eastAsia="华文仿宋" w:cs="仿宋_GB2312"/>
          <w:b/>
          <w:bCs/>
          <w:color w:val="auto"/>
          <w:kern w:val="2"/>
          <w:sz w:val="32"/>
          <w:szCs w:val="32"/>
        </w:rPr>
        <w:t>发挥政府引导作用</w:t>
      </w:r>
    </w:p>
    <w:p>
      <w:pPr>
        <w:ind w:firstLine="641"/>
        <w:rPr>
          <w:rFonts w:ascii="华文仿宋" w:hAnsi="华文仿宋" w:eastAsia="华文仿宋" w:cs="仿宋_GB2312"/>
          <w:color w:val="auto"/>
          <w:sz w:val="32"/>
          <w:szCs w:val="32"/>
        </w:rPr>
      </w:pPr>
      <w:r>
        <w:rPr>
          <w:rFonts w:hint="eastAsia" w:ascii="华文仿宋" w:hAnsi="华文仿宋" w:eastAsia="华文仿宋" w:cs="仿宋_GB2312"/>
          <w:b/>
          <w:bCs/>
          <w:color w:val="auto"/>
          <w:sz w:val="32"/>
          <w:szCs w:val="32"/>
        </w:rPr>
        <w:t>（1）建立用工求职信息服务平台。</w:t>
      </w:r>
      <w:r>
        <w:rPr>
          <w:rFonts w:hint="eastAsia" w:ascii="华文仿宋" w:hAnsi="华文仿宋" w:eastAsia="华文仿宋" w:cs="仿宋_GB2312"/>
          <w:color w:val="auto"/>
          <w:sz w:val="32"/>
          <w:szCs w:val="32"/>
        </w:rPr>
        <w:t>厘清</w:t>
      </w:r>
      <w:r>
        <w:rPr>
          <w:rFonts w:ascii="华文仿宋" w:hAnsi="华文仿宋" w:eastAsia="华文仿宋" w:cs="仿宋_GB2312"/>
          <w:color w:val="auto"/>
          <w:sz w:val="32"/>
          <w:szCs w:val="32"/>
        </w:rPr>
        <w:t>全县在外就业及创业人员基本信息、劳动者求职需求、企业用工需求三项信息清单</w:t>
      </w:r>
      <w:r>
        <w:rPr>
          <w:rFonts w:hint="eastAsia" w:ascii="华文仿宋" w:hAnsi="华文仿宋" w:eastAsia="华文仿宋" w:cs="仿宋_GB2312"/>
          <w:color w:val="auto"/>
          <w:sz w:val="32"/>
          <w:szCs w:val="32"/>
        </w:rPr>
        <w:t>，</w:t>
      </w:r>
      <w:r>
        <w:rPr>
          <w:rFonts w:hint="eastAsia" w:ascii="华文仿宋" w:hAnsi="华文仿宋" w:eastAsia="华文仿宋" w:cs="仿宋"/>
          <w:color w:val="auto"/>
          <w:sz w:val="32"/>
          <w:szCs w:val="32"/>
          <w:shd w:val="clear" w:color="auto" w:fill="FFFFFF"/>
        </w:rPr>
        <w:t>实现缺工企业岗位需求、求职者就业需求“一点发布、全民共享、一点填写、精准送岗”。</w:t>
      </w:r>
      <w:r>
        <w:rPr>
          <w:rFonts w:hint="eastAsia" w:ascii="华文仿宋" w:hAnsi="华文仿宋" w:eastAsia="华文仿宋" w:cs="仿宋_GB2312"/>
          <w:color w:val="auto"/>
          <w:sz w:val="32"/>
          <w:szCs w:val="32"/>
        </w:rPr>
        <w:t>（牵头单位：县人社局；责任单位：各乡镇人民政府、</w:t>
      </w:r>
      <w:r>
        <w:rPr>
          <w:rFonts w:ascii="华文仿宋" w:hAnsi="华文仿宋" w:eastAsia="华文仿宋" w:cs="仿宋_GB2312"/>
          <w:color w:val="auto"/>
          <w:sz w:val="32"/>
          <w:szCs w:val="32"/>
        </w:rPr>
        <w:t>东至经开区管委会、大渡口经开区管委会</w:t>
      </w:r>
      <w:r>
        <w:rPr>
          <w:rFonts w:hint="eastAsia" w:ascii="华文仿宋" w:hAnsi="华文仿宋" w:eastAsia="华文仿宋" w:cs="仿宋_GB2312"/>
          <w:color w:val="auto"/>
          <w:sz w:val="32"/>
          <w:szCs w:val="32"/>
        </w:rPr>
        <w:t>）</w:t>
      </w:r>
    </w:p>
    <w:p>
      <w:pPr>
        <w:ind w:firstLine="641"/>
        <w:rPr>
          <w:rFonts w:ascii="华文仿宋" w:hAnsi="华文仿宋" w:eastAsia="华文仿宋" w:cs="仿宋_GB2312"/>
          <w:color w:val="auto"/>
          <w:sz w:val="32"/>
          <w:szCs w:val="32"/>
        </w:rPr>
      </w:pPr>
      <w:r>
        <w:rPr>
          <w:rFonts w:hint="eastAsia" w:ascii="华文仿宋" w:hAnsi="华文仿宋" w:eastAsia="华文仿宋" w:cs="仿宋_GB2312"/>
          <w:b/>
          <w:bCs/>
          <w:color w:val="auto"/>
          <w:sz w:val="32"/>
          <w:szCs w:val="32"/>
        </w:rPr>
        <w:t>（2）举办线上线下各类招聘活动。</w:t>
      </w:r>
      <w:r>
        <w:rPr>
          <w:rFonts w:hint="eastAsia" w:ascii="华文仿宋" w:hAnsi="华文仿宋" w:eastAsia="华文仿宋" w:cs="仿宋_GB2312"/>
          <w:color w:val="auto"/>
          <w:kern w:val="0"/>
          <w:sz w:val="32"/>
          <w:szCs w:val="32"/>
        </w:rPr>
        <w:t>举办“周三就业招聘”和“周六人才对接”</w:t>
      </w:r>
      <w:r>
        <w:rPr>
          <w:rFonts w:hint="eastAsia" w:ascii="华文仿宋" w:hAnsi="华文仿宋" w:eastAsia="华文仿宋" w:cs="仿宋_GB2312"/>
          <w:color w:val="auto"/>
          <w:sz w:val="32"/>
          <w:szCs w:val="32"/>
        </w:rPr>
        <w:t>2大主题招聘活动73场；开展“春风行动”、“节日招聘”及特殊群体专场招聘活动25场；举办“化工新材料、智能装备制造、袜业箱包服装”等特色产业专场招聘活动3场；组织企业参加“招才引智高校行”等校园招聘活动。创新“直播带岗”、“广播送岗”“直播政策” 等特色网络招聘模式。（牵头单位：县人社局、县人才办；责任单位：各乡镇人民政府、县退役军人事务局、县总工会、县妇联、县残联、</w:t>
      </w:r>
      <w:r>
        <w:rPr>
          <w:rFonts w:ascii="华文仿宋" w:hAnsi="华文仿宋" w:eastAsia="华文仿宋" w:cs="仿宋_GB2312"/>
          <w:color w:val="auto"/>
          <w:sz w:val="32"/>
          <w:szCs w:val="32"/>
        </w:rPr>
        <w:t>东至经开区管委会、大渡口经开区管委会</w:t>
      </w:r>
      <w:r>
        <w:rPr>
          <w:rFonts w:hint="eastAsia" w:ascii="华文仿宋" w:hAnsi="华文仿宋" w:eastAsia="华文仿宋" w:cs="仿宋_GB2312"/>
          <w:color w:val="auto"/>
          <w:sz w:val="32"/>
          <w:szCs w:val="32"/>
        </w:rPr>
        <w:t>）</w:t>
      </w:r>
    </w:p>
    <w:p>
      <w:pPr>
        <w:pStyle w:val="4"/>
        <w:ind w:firstLine="641"/>
        <w:jc w:val="both"/>
        <w:rPr>
          <w:rFonts w:hint="default" w:ascii="华文仿宋" w:hAnsi="华文仿宋" w:eastAsia="华文仿宋" w:cs="仿宋_GB2312"/>
          <w:color w:val="auto"/>
          <w:sz w:val="32"/>
          <w:szCs w:val="32"/>
        </w:rPr>
      </w:pPr>
      <w:r>
        <w:rPr>
          <w:rFonts w:ascii="华文仿宋" w:hAnsi="华文仿宋" w:eastAsia="华文仿宋" w:cs="仿宋_GB2312"/>
          <w:b/>
          <w:bCs/>
          <w:color w:val="auto"/>
          <w:sz w:val="32"/>
          <w:szCs w:val="32"/>
        </w:rPr>
        <w:t>（3）加强技能人才培训力度。</w:t>
      </w:r>
      <w:r>
        <w:rPr>
          <w:rFonts w:ascii="华文仿宋" w:hAnsi="华文仿宋" w:eastAsia="华文仿宋" w:cs="仿宋_GB2312"/>
          <w:bCs/>
          <w:color w:val="auto"/>
          <w:sz w:val="32"/>
          <w:szCs w:val="32"/>
        </w:rPr>
        <w:t>广泛</w:t>
      </w:r>
      <w:r>
        <w:rPr>
          <w:rFonts w:ascii="华文仿宋" w:hAnsi="华文仿宋" w:eastAsia="华文仿宋" w:cs="仿宋_GB2312"/>
          <w:color w:val="auto"/>
          <w:sz w:val="32"/>
          <w:szCs w:val="32"/>
        </w:rPr>
        <w:t>开展企业员工技能培训，年度培训不少于2000人。依托职业培训机构面向劳动者针对不同工种开展多种类型培训，年度培训不少于1000人，实现劳动者高质量就业。（牵头单位：县人社局；责任单位：县财政局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各乡镇人民政府</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东至经开区管委会、大渡口经开区管委会）</w:t>
      </w:r>
    </w:p>
    <w:p>
      <w:pPr>
        <w:pStyle w:val="4"/>
        <w:ind w:firstLine="641"/>
        <w:jc w:val="both"/>
        <w:rPr>
          <w:rFonts w:hint="default" w:ascii="华文仿宋" w:hAnsi="华文仿宋" w:eastAsia="华文仿宋" w:cs="仿宋_GB2312"/>
          <w:color w:val="auto"/>
          <w:sz w:val="32"/>
          <w:szCs w:val="32"/>
        </w:rPr>
      </w:pPr>
      <w:r>
        <w:rPr>
          <w:rFonts w:ascii="华文仿宋" w:hAnsi="华文仿宋" w:eastAsia="华文仿宋" w:cs="仿宋_GB2312"/>
          <w:b/>
          <w:bCs/>
          <w:color w:val="auto"/>
          <w:sz w:val="32"/>
          <w:szCs w:val="32"/>
        </w:rPr>
        <w:t>（4）加大高技能人才培养载体建设。</w:t>
      </w:r>
      <w:r>
        <w:rPr>
          <w:rFonts w:ascii="华文仿宋" w:hAnsi="华文仿宋" w:eastAsia="华文仿宋" w:cs="仿宋_GB2312"/>
          <w:color w:val="auto"/>
          <w:sz w:val="32"/>
          <w:szCs w:val="32"/>
        </w:rPr>
        <w:t>持续推进技能大师工作室建设，每年县级技能大师工作室认定不少于3个，争取市级技能大师工作室认定不少于2个、名师带高徒基地名师认定不少于2个。积极推动华尔泰、池州工业学校高技能人才培训基地和新兴产业综合竞赛基地建设。（牵头单位：县人社局；责任单位：县财政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县人才办</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各乡镇人民政府</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东至经开区管委会、大渡口经开区管委会）</w:t>
      </w:r>
    </w:p>
    <w:p>
      <w:pPr>
        <w:pStyle w:val="4"/>
        <w:ind w:firstLine="641"/>
        <w:jc w:val="both"/>
        <w:rPr>
          <w:rFonts w:hint="default" w:ascii="华文仿宋" w:hAnsi="华文仿宋" w:eastAsia="华文仿宋" w:cs="仿宋_GB2312"/>
          <w:color w:val="auto"/>
          <w:sz w:val="32"/>
          <w:szCs w:val="32"/>
        </w:rPr>
      </w:pPr>
      <w:r>
        <w:rPr>
          <w:rFonts w:ascii="华文仿宋" w:hAnsi="华文仿宋" w:eastAsia="华文仿宋" w:cs="仿宋_GB2312"/>
          <w:b/>
          <w:color w:val="auto"/>
          <w:sz w:val="32"/>
          <w:szCs w:val="32"/>
        </w:rPr>
        <w:t>（5）落实</w:t>
      </w:r>
      <w:r>
        <w:rPr>
          <w:rFonts w:ascii="华文仿宋" w:hAnsi="华文仿宋" w:eastAsia="华文仿宋" w:cs="仿宋_GB2312"/>
          <w:b/>
          <w:bCs/>
          <w:color w:val="auto"/>
          <w:sz w:val="32"/>
          <w:szCs w:val="32"/>
        </w:rPr>
        <w:t>各项奖励扶持政策。</w:t>
      </w:r>
      <w:r>
        <w:rPr>
          <w:rFonts w:ascii="华文仿宋" w:hAnsi="华文仿宋" w:eastAsia="华文仿宋" w:cs="仿宋_GB2312"/>
          <w:color w:val="auto"/>
          <w:sz w:val="32"/>
          <w:szCs w:val="32"/>
        </w:rPr>
        <w:t>继续</w:t>
      </w:r>
      <w:r>
        <w:rPr>
          <w:rFonts w:hint="default" w:ascii="华文仿宋" w:hAnsi="华文仿宋" w:eastAsia="华文仿宋" w:cs="仿宋_GB2312"/>
          <w:color w:val="auto"/>
          <w:sz w:val="32"/>
          <w:szCs w:val="32"/>
        </w:rPr>
        <w:t>实施</w:t>
      </w:r>
      <w:r>
        <w:rPr>
          <w:rFonts w:ascii="华文仿宋" w:hAnsi="华文仿宋" w:eastAsia="华文仿宋" w:cs="仿宋_GB2312"/>
          <w:color w:val="auto"/>
          <w:sz w:val="32"/>
          <w:szCs w:val="32"/>
        </w:rPr>
        <w:t>现有就业</w:t>
      </w:r>
      <w:r>
        <w:rPr>
          <w:rFonts w:hint="default" w:ascii="华文仿宋" w:hAnsi="华文仿宋" w:eastAsia="华文仿宋" w:cs="仿宋_GB2312"/>
          <w:color w:val="auto"/>
          <w:sz w:val="32"/>
          <w:szCs w:val="32"/>
        </w:rPr>
        <w:t>扶持政策</w:t>
      </w:r>
      <w:r>
        <w:rPr>
          <w:rFonts w:ascii="华文仿宋" w:hAnsi="华文仿宋" w:eastAsia="华文仿宋" w:cs="仿宋_GB2312"/>
          <w:color w:val="auto"/>
          <w:sz w:val="32"/>
          <w:szCs w:val="32"/>
        </w:rPr>
        <w:t>，出台《东至县招工用工奖补暂行办法》，动员各方力量，引导返乡人员县内就业，吸引优秀人才来东至就业。县财政每年安排不低于400万元的招工用工奖补资金，专项用于服务企业招工用工。</w:t>
      </w:r>
      <w:r>
        <w:rPr>
          <w:rFonts w:hint="default" w:ascii="华文仿宋" w:hAnsi="华文仿宋" w:eastAsia="华文仿宋" w:cs="仿宋_GB2312"/>
          <w:color w:val="auto"/>
          <w:sz w:val="32"/>
          <w:szCs w:val="32"/>
        </w:rPr>
        <w:t>（牵头单位：县财政局</w:t>
      </w:r>
      <w:r>
        <w:rPr>
          <w:rFonts w:ascii="华文仿宋" w:hAnsi="华文仿宋" w:eastAsia="华文仿宋" w:cs="仿宋_GB2312"/>
          <w:color w:val="auto"/>
          <w:sz w:val="32"/>
          <w:szCs w:val="32"/>
        </w:rPr>
        <w:t>、</w:t>
      </w:r>
      <w:r>
        <w:rPr>
          <w:rFonts w:hint="default" w:ascii="华文仿宋" w:hAnsi="华文仿宋" w:eastAsia="华文仿宋" w:cs="仿宋_GB2312"/>
          <w:color w:val="auto"/>
          <w:sz w:val="32"/>
          <w:szCs w:val="32"/>
        </w:rPr>
        <w:t>县人</w:t>
      </w:r>
      <w:r>
        <w:rPr>
          <w:rFonts w:ascii="华文仿宋" w:hAnsi="华文仿宋" w:eastAsia="华文仿宋" w:cs="仿宋_GB2312"/>
          <w:color w:val="auto"/>
          <w:sz w:val="32"/>
          <w:szCs w:val="32"/>
        </w:rPr>
        <w:t>社</w:t>
      </w:r>
      <w:r>
        <w:rPr>
          <w:rFonts w:hint="default" w:ascii="华文仿宋" w:hAnsi="华文仿宋" w:eastAsia="华文仿宋" w:cs="仿宋_GB2312"/>
          <w:color w:val="auto"/>
          <w:sz w:val="32"/>
          <w:szCs w:val="32"/>
        </w:rPr>
        <w:t>局；责任单位：</w:t>
      </w:r>
      <w:r>
        <w:rPr>
          <w:rFonts w:ascii="华文仿宋" w:hAnsi="华文仿宋" w:eastAsia="华文仿宋" w:cs="仿宋_GB2312"/>
          <w:color w:val="auto"/>
          <w:sz w:val="32"/>
          <w:szCs w:val="32"/>
        </w:rPr>
        <w:t>各乡镇人民政府</w:t>
      </w:r>
      <w:r>
        <w:rPr>
          <w:rFonts w:hint="eastAsia" w:ascii="华文仿宋" w:hAnsi="华文仿宋" w:eastAsia="华文仿宋" w:cs="仿宋_GB2312"/>
          <w:color w:val="auto"/>
          <w:sz w:val="32"/>
          <w:szCs w:val="32"/>
          <w:lang w:eastAsia="zh-CN"/>
        </w:rPr>
        <w:t>、</w:t>
      </w:r>
      <w:r>
        <w:rPr>
          <w:rFonts w:hint="default" w:ascii="华文仿宋" w:hAnsi="华文仿宋" w:eastAsia="华文仿宋" w:cs="仿宋_GB2312"/>
          <w:color w:val="auto"/>
          <w:sz w:val="32"/>
          <w:szCs w:val="32"/>
        </w:rPr>
        <w:t>东至经开区、大渡口经开区管委会）</w:t>
      </w:r>
    </w:p>
    <w:p>
      <w:pPr>
        <w:shd w:val="clear" w:color="auto" w:fill="FFFFFF"/>
        <w:ind w:firstLine="641"/>
        <w:rPr>
          <w:rFonts w:ascii="华文仿宋" w:hAnsi="华文仿宋" w:eastAsia="华文仿宋" w:cs="仿宋_GB2312"/>
          <w:color w:val="auto"/>
          <w:sz w:val="32"/>
          <w:szCs w:val="32"/>
        </w:rPr>
      </w:pPr>
      <w:r>
        <w:rPr>
          <w:rFonts w:hint="eastAsia" w:ascii="华文仿宋" w:hAnsi="华文仿宋" w:eastAsia="华文仿宋" w:cs="仿宋_GB2312"/>
          <w:b/>
          <w:color w:val="auto"/>
          <w:sz w:val="32"/>
          <w:szCs w:val="32"/>
        </w:rPr>
        <w:t>（6）</w:t>
      </w:r>
      <w:r>
        <w:rPr>
          <w:rFonts w:ascii="华文仿宋" w:hAnsi="华文仿宋" w:eastAsia="华文仿宋" w:cs="仿宋_GB2312"/>
          <w:b/>
          <w:color w:val="auto"/>
          <w:sz w:val="32"/>
          <w:szCs w:val="32"/>
        </w:rPr>
        <w:t>建立乡镇园区</w:t>
      </w:r>
      <w:r>
        <w:rPr>
          <w:rFonts w:ascii="华文仿宋" w:hAnsi="华文仿宋" w:eastAsia="华文仿宋" w:cs="楷体"/>
          <w:b/>
          <w:color w:val="auto"/>
          <w:sz w:val="32"/>
          <w:szCs w:val="32"/>
        </w:rPr>
        <w:t>考核机制。</w:t>
      </w:r>
      <w:r>
        <w:rPr>
          <w:rFonts w:ascii="华文仿宋" w:hAnsi="华文仿宋" w:eastAsia="华文仿宋" w:cs="仿宋_GB2312"/>
          <w:color w:val="auto"/>
          <w:sz w:val="32"/>
          <w:szCs w:val="32"/>
        </w:rPr>
        <w:t>将乡镇招工服务工作列入县对乡镇目标管理考核，</w:t>
      </w:r>
      <w:r>
        <w:rPr>
          <w:rFonts w:hint="eastAsia" w:ascii="华文仿宋" w:hAnsi="华文仿宋" w:eastAsia="华文仿宋" w:cs="仿宋_GB2312"/>
          <w:color w:val="auto"/>
          <w:sz w:val="32"/>
          <w:szCs w:val="32"/>
        </w:rPr>
        <w:t>每年计划新增城乡劳动力转移就业1500人，重</w:t>
      </w:r>
      <w:r>
        <w:rPr>
          <w:rFonts w:hint="eastAsia" w:ascii="华文仿宋" w:hAnsi="华文仿宋" w:eastAsia="华文仿宋" w:cs="仿宋_GB2312"/>
          <w:color w:val="auto"/>
          <w:kern w:val="0"/>
          <w:sz w:val="32"/>
          <w:szCs w:val="32"/>
        </w:rPr>
        <w:t>点推动山区劳动力转移到园区企业就业。落实园区加强企业用工监管责任，对园区企业年度用工流失率低于10%，县政府给予园区通报表扬；对园区企业用工流失率超过50%，县政府对园区实行约谈。（牵头单位：县政府办、县人社局；责任单位：各乡镇人民政府、</w:t>
      </w:r>
      <w:r>
        <w:rPr>
          <w:rFonts w:ascii="华文仿宋" w:hAnsi="华文仿宋" w:eastAsia="华文仿宋" w:cs="仿宋_GB2312"/>
          <w:color w:val="auto"/>
          <w:sz w:val="32"/>
          <w:szCs w:val="32"/>
        </w:rPr>
        <w:t>东至经开区、大渡口经开区管委会</w:t>
      </w:r>
      <w:r>
        <w:rPr>
          <w:rFonts w:hint="eastAsia" w:ascii="华文仿宋" w:hAnsi="华文仿宋" w:eastAsia="华文仿宋" w:cs="仿宋_GB2312"/>
          <w:color w:val="auto"/>
          <w:sz w:val="32"/>
          <w:szCs w:val="32"/>
        </w:rPr>
        <w:t>）</w:t>
      </w:r>
    </w:p>
    <w:p>
      <w:pPr>
        <w:ind w:firstLine="641"/>
        <w:rPr>
          <w:rFonts w:ascii="华文仿宋" w:hAnsi="华文仿宋" w:eastAsia="华文仿宋" w:cs="仿宋_GB2312"/>
          <w:b/>
          <w:bCs/>
          <w:color w:val="auto"/>
          <w:sz w:val="32"/>
          <w:szCs w:val="32"/>
        </w:rPr>
      </w:pPr>
      <w:r>
        <w:rPr>
          <w:rFonts w:hint="eastAsia" w:ascii="华文仿宋" w:hAnsi="华文仿宋" w:eastAsia="华文仿宋" w:cs="仿宋_GB2312"/>
          <w:b/>
          <w:bCs/>
          <w:color w:val="auto"/>
          <w:sz w:val="32"/>
          <w:szCs w:val="32"/>
        </w:rPr>
        <w:t>二、发挥市场主导作用</w:t>
      </w:r>
    </w:p>
    <w:p>
      <w:pPr>
        <w:pStyle w:val="5"/>
        <w:shd w:val="clear" w:color="auto" w:fill="FFFFFF"/>
        <w:spacing w:before="0" w:beforeAutospacing="0" w:after="0" w:afterAutospacing="0"/>
        <w:ind w:firstLine="641"/>
        <w:jc w:val="both"/>
        <w:rPr>
          <w:rFonts w:ascii="华文仿宋" w:hAnsi="华文仿宋" w:eastAsia="华文仿宋" w:cs="仿宋"/>
          <w:color w:val="auto"/>
          <w:sz w:val="32"/>
          <w:szCs w:val="32"/>
        </w:rPr>
      </w:pPr>
      <w:r>
        <w:rPr>
          <w:rFonts w:hint="eastAsia" w:ascii="华文仿宋" w:hAnsi="华文仿宋" w:eastAsia="华文仿宋" w:cs="仿宋_GB2312"/>
          <w:b/>
          <w:bCs/>
          <w:color w:val="auto"/>
          <w:sz w:val="32"/>
          <w:szCs w:val="32"/>
        </w:rPr>
        <w:t>（7）大力组织劳务输入。</w:t>
      </w:r>
      <w:r>
        <w:rPr>
          <w:rFonts w:hint="eastAsia" w:ascii="华文仿宋" w:hAnsi="华文仿宋" w:eastAsia="华文仿宋" w:cs="仿宋_GB2312"/>
          <w:color w:val="auto"/>
          <w:sz w:val="32"/>
          <w:szCs w:val="32"/>
        </w:rPr>
        <w:t>依托广州、西安、杭州等地商会组织、骨干企业和驻外党支部，在劳务主要输入地设立驻外农民工服务站2个，组织开展“接您回家”活动，逐步引导鼓励东至籍成功人士及其他群体返乡就业创业。加强与云贵川等劳务输出富裕省份的劳务工作，适时组织缺工企业精准对接，有</w:t>
      </w:r>
      <w:r>
        <w:rPr>
          <w:rFonts w:ascii="华文仿宋" w:hAnsi="华文仿宋" w:eastAsia="华文仿宋" w:cs="仿宋_GB2312"/>
          <w:color w:val="auto"/>
          <w:sz w:val="32"/>
          <w:szCs w:val="32"/>
        </w:rPr>
        <w:t>序组织劳务输入。</w:t>
      </w:r>
      <w:r>
        <w:rPr>
          <w:rFonts w:hint="eastAsia" w:ascii="华文仿宋" w:hAnsi="华文仿宋" w:eastAsia="华文仿宋" w:cs="仿宋_GB2312"/>
          <w:color w:val="auto"/>
          <w:sz w:val="32"/>
          <w:szCs w:val="32"/>
        </w:rPr>
        <w:t>（牵头单位：县人社局；责任单位：县委组织部、县财政局</w:t>
      </w:r>
      <w:r>
        <w:rPr>
          <w:rFonts w:hint="eastAsia" w:ascii="华文仿宋" w:hAnsi="华文仿宋" w:eastAsia="华文仿宋" w:cs="仿宋_GB2312"/>
          <w:color w:val="auto"/>
          <w:sz w:val="32"/>
          <w:szCs w:val="32"/>
          <w:lang w:eastAsia="zh-CN"/>
        </w:rPr>
        <w:t>、</w:t>
      </w:r>
      <w:r>
        <w:rPr>
          <w:rFonts w:hint="eastAsia" w:ascii="华文仿宋" w:hAnsi="华文仿宋" w:eastAsia="华文仿宋" w:cs="仿宋_GB2312"/>
          <w:color w:val="auto"/>
          <w:sz w:val="32"/>
          <w:szCs w:val="32"/>
        </w:rPr>
        <w:t>县工商联</w:t>
      </w:r>
      <w:r>
        <w:rPr>
          <w:rFonts w:hint="eastAsia" w:ascii="华文仿宋" w:hAnsi="华文仿宋" w:eastAsia="华文仿宋" w:cs="仿宋_GB2312"/>
          <w:color w:val="auto"/>
          <w:sz w:val="32"/>
          <w:szCs w:val="32"/>
          <w:lang w:eastAsia="zh-CN"/>
        </w:rPr>
        <w:t>、</w:t>
      </w:r>
      <w:r>
        <w:rPr>
          <w:rFonts w:hint="eastAsia" w:ascii="华文仿宋" w:hAnsi="华文仿宋" w:eastAsia="华文仿宋" w:cs="仿宋_GB2312"/>
          <w:color w:val="auto"/>
          <w:sz w:val="32"/>
          <w:szCs w:val="32"/>
        </w:rPr>
        <w:t>各乡镇人民政府</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东至经开区、大渡口经开区管委会</w:t>
      </w:r>
      <w:r>
        <w:rPr>
          <w:rFonts w:hint="eastAsia" w:ascii="华文仿宋" w:hAnsi="华文仿宋" w:eastAsia="华文仿宋" w:cs="仿宋_GB2312"/>
          <w:color w:val="auto"/>
          <w:sz w:val="32"/>
          <w:szCs w:val="32"/>
        </w:rPr>
        <w:t>）</w:t>
      </w:r>
    </w:p>
    <w:p>
      <w:pPr>
        <w:ind w:firstLine="641"/>
        <w:rPr>
          <w:rFonts w:ascii="华文仿宋" w:hAnsi="华文仿宋" w:eastAsia="华文仿宋" w:cs="仿宋_GB2312"/>
          <w:color w:val="auto"/>
          <w:sz w:val="32"/>
          <w:szCs w:val="32"/>
        </w:rPr>
      </w:pPr>
      <w:r>
        <w:rPr>
          <w:rFonts w:hint="eastAsia" w:ascii="华文仿宋" w:hAnsi="华文仿宋" w:eastAsia="华文仿宋" w:cs="仿宋_GB2312"/>
          <w:b/>
          <w:bCs/>
          <w:color w:val="auto"/>
          <w:sz w:val="32"/>
          <w:szCs w:val="32"/>
        </w:rPr>
        <w:t>（8）发挥</w:t>
      </w:r>
      <w:r>
        <w:rPr>
          <w:rFonts w:ascii="华文仿宋" w:hAnsi="华文仿宋" w:eastAsia="华文仿宋" w:cs="仿宋_GB2312"/>
          <w:b/>
          <w:bCs/>
          <w:color w:val="auto"/>
          <w:sz w:val="32"/>
          <w:szCs w:val="32"/>
        </w:rPr>
        <w:t>服务机构</w:t>
      </w:r>
      <w:r>
        <w:rPr>
          <w:rFonts w:hint="eastAsia" w:ascii="华文仿宋" w:hAnsi="华文仿宋" w:eastAsia="华文仿宋" w:cs="仿宋_GB2312"/>
          <w:b/>
          <w:bCs/>
          <w:color w:val="auto"/>
          <w:sz w:val="32"/>
          <w:szCs w:val="32"/>
        </w:rPr>
        <w:t>助企作用</w:t>
      </w:r>
      <w:r>
        <w:rPr>
          <w:rFonts w:ascii="华文仿宋" w:hAnsi="华文仿宋" w:eastAsia="华文仿宋" w:cs="仿宋_GB2312"/>
          <w:b/>
          <w:bCs/>
          <w:color w:val="auto"/>
          <w:sz w:val="32"/>
          <w:szCs w:val="32"/>
        </w:rPr>
        <w:t>。</w:t>
      </w:r>
      <w:r>
        <w:rPr>
          <w:rFonts w:hint="eastAsia" w:ascii="华文仿宋" w:hAnsi="华文仿宋" w:eastAsia="华文仿宋" w:cs="仿宋_GB2312"/>
          <w:color w:val="auto"/>
          <w:sz w:val="32"/>
          <w:szCs w:val="32"/>
        </w:rPr>
        <w:t>积极</w:t>
      </w:r>
      <w:r>
        <w:rPr>
          <w:rFonts w:hint="eastAsia" w:ascii="华文仿宋" w:hAnsi="华文仿宋" w:eastAsia="华文仿宋" w:cs="仿宋_GB2312"/>
          <w:color w:val="auto"/>
          <w:kern w:val="0"/>
          <w:sz w:val="32"/>
          <w:szCs w:val="32"/>
        </w:rPr>
        <w:t>培育1-2家本地优质人力资源服务机构，聚焦农村有劳动意愿的低龄老年人才，用好农村闲散劳动力，建立灵活就业人员的信息库，充分发挥灵活就业人员市场。加大与长三角区域城市人力资源服务</w:t>
      </w:r>
      <w:r>
        <w:rPr>
          <w:rFonts w:hint="eastAsia" w:ascii="华文仿宋" w:hAnsi="华文仿宋" w:eastAsia="华文仿宋" w:cs="仿宋_GB2312"/>
          <w:color w:val="auto"/>
          <w:sz w:val="32"/>
          <w:szCs w:val="32"/>
        </w:rPr>
        <w:t>机构的对接，</w:t>
      </w:r>
      <w:r>
        <w:rPr>
          <w:rFonts w:ascii="华文仿宋" w:hAnsi="华文仿宋" w:eastAsia="华文仿宋" w:cs="仿宋_GB2312"/>
          <w:color w:val="auto"/>
          <w:sz w:val="32"/>
          <w:szCs w:val="32"/>
        </w:rPr>
        <w:t>最大化发挥人力资源服务机构作用，为企业招工引才提供优质服务。（牵头单位：县人社局；责任单位：县财政局</w:t>
      </w:r>
      <w:r>
        <w:rPr>
          <w:rFonts w:hint="eastAsia" w:ascii="华文仿宋" w:hAnsi="华文仿宋" w:eastAsia="华文仿宋" w:cs="仿宋_GB2312"/>
          <w:color w:val="auto"/>
          <w:sz w:val="32"/>
          <w:szCs w:val="32"/>
          <w:lang w:eastAsia="zh-CN"/>
        </w:rPr>
        <w:t>、</w:t>
      </w:r>
      <w:r>
        <w:rPr>
          <w:rFonts w:hint="eastAsia" w:ascii="华文仿宋" w:hAnsi="华文仿宋" w:eastAsia="华文仿宋" w:cs="仿宋_GB2312"/>
          <w:color w:val="auto"/>
          <w:sz w:val="32"/>
          <w:szCs w:val="32"/>
        </w:rPr>
        <w:t>各乡镇人民政府</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东至经开区、大渡口经开区管委会）</w:t>
      </w:r>
    </w:p>
    <w:p>
      <w:pPr>
        <w:pStyle w:val="4"/>
        <w:ind w:firstLine="641"/>
        <w:jc w:val="both"/>
        <w:rPr>
          <w:rFonts w:hint="default" w:ascii="华文仿宋" w:hAnsi="华文仿宋" w:eastAsia="华文仿宋" w:cs="仿宋_GB2312"/>
          <w:b/>
          <w:bCs/>
          <w:color w:val="auto"/>
          <w:sz w:val="32"/>
          <w:szCs w:val="32"/>
        </w:rPr>
      </w:pPr>
      <w:r>
        <w:rPr>
          <w:rFonts w:ascii="华文仿宋" w:hAnsi="华文仿宋" w:eastAsia="华文仿宋" w:cs="仿宋_GB2312"/>
          <w:b/>
          <w:bCs/>
          <w:color w:val="auto"/>
          <w:sz w:val="32"/>
          <w:szCs w:val="32"/>
        </w:rPr>
        <w:t>三、发挥园区主责作用</w:t>
      </w:r>
    </w:p>
    <w:p>
      <w:pPr>
        <w:pStyle w:val="4"/>
        <w:ind w:firstLine="641"/>
        <w:jc w:val="both"/>
        <w:rPr>
          <w:rFonts w:hint="default" w:ascii="华文仿宋" w:hAnsi="华文仿宋" w:eastAsia="华文仿宋" w:cs="仿宋_GB2312"/>
          <w:color w:val="auto"/>
          <w:sz w:val="32"/>
          <w:szCs w:val="32"/>
        </w:rPr>
      </w:pPr>
      <w:r>
        <w:rPr>
          <w:rFonts w:ascii="华文仿宋" w:hAnsi="华文仿宋" w:eastAsia="华文仿宋" w:cs="仿宋_GB2312"/>
          <w:b/>
          <w:bCs/>
          <w:color w:val="auto"/>
          <w:sz w:val="32"/>
          <w:szCs w:val="32"/>
        </w:rPr>
        <w:t>（9）完善园区设施服务。</w:t>
      </w:r>
      <w:r>
        <w:rPr>
          <w:rFonts w:ascii="华文仿宋" w:hAnsi="华文仿宋" w:eastAsia="华文仿宋" w:cs="仿宋_GB2312"/>
          <w:color w:val="auto"/>
          <w:sz w:val="32"/>
          <w:szCs w:val="32"/>
        </w:rPr>
        <w:t>持续加强园区基础设施和公共服务设施建设，进一步打通园区与县城的交通循环系统，提升为园区企业员工吃、住、行、娱、购、医、学等基础性服务功能。（牵头单位：东至经开区、大渡口经开区管委会；责任单位：县交通运输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县发改委</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县教体局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县自然资源和规划局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县科经局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县财政局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县住建局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县文旅局</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县卫生健康委）</w:t>
      </w:r>
    </w:p>
    <w:p>
      <w:pPr>
        <w:pStyle w:val="4"/>
        <w:ind w:firstLine="641"/>
        <w:jc w:val="both"/>
        <w:rPr>
          <w:rFonts w:hint="default" w:ascii="华文仿宋" w:hAnsi="华文仿宋" w:eastAsia="华文仿宋" w:cs="仿宋_GB2312"/>
          <w:color w:val="auto"/>
          <w:sz w:val="32"/>
          <w:szCs w:val="32"/>
        </w:rPr>
      </w:pPr>
      <w:r>
        <w:rPr>
          <w:rFonts w:ascii="华文仿宋" w:hAnsi="华文仿宋" w:eastAsia="华文仿宋" w:cs="仿宋_GB2312"/>
          <w:b/>
          <w:bCs/>
          <w:color w:val="auto"/>
          <w:sz w:val="32"/>
          <w:szCs w:val="32"/>
        </w:rPr>
        <w:t>（10）增强综合保障能力。</w:t>
      </w:r>
      <w:r>
        <w:rPr>
          <w:rFonts w:ascii="华文仿宋" w:hAnsi="华文仿宋" w:eastAsia="华文仿宋" w:cs="仿宋_GB2312"/>
          <w:color w:val="auto"/>
          <w:sz w:val="32"/>
          <w:szCs w:val="32"/>
        </w:rPr>
        <w:t>鼓励园区加强新就业人员享受租房、公租房等房屋保障政策；随迁子女入学与流入地少年儿童平等接受以全日制公办学校为主的义务教育，在流入地参加中考以及享受“两免一补”政策。（牵头单位：县住建局、县教体局；责任单位：各乡镇人民政府</w:t>
      </w:r>
      <w:r>
        <w:rPr>
          <w:rFonts w:hint="eastAsia" w:ascii="华文仿宋" w:hAnsi="华文仿宋" w:eastAsia="华文仿宋" w:cs="仿宋_GB2312"/>
          <w:color w:val="auto"/>
          <w:sz w:val="32"/>
          <w:szCs w:val="32"/>
          <w:lang w:eastAsia="zh-CN"/>
        </w:rPr>
        <w:t>、</w:t>
      </w:r>
      <w:r>
        <w:rPr>
          <w:rFonts w:ascii="华文仿宋" w:hAnsi="华文仿宋" w:eastAsia="华文仿宋" w:cs="仿宋_GB2312"/>
          <w:color w:val="auto"/>
          <w:sz w:val="32"/>
          <w:szCs w:val="32"/>
        </w:rPr>
        <w:t>东至经开区、大渡口经开区管委会）</w:t>
      </w:r>
    </w:p>
    <w:p>
      <w:pPr>
        <w:pStyle w:val="12"/>
        <w:shd w:val="clear" w:color="auto" w:fill="auto"/>
        <w:spacing w:before="0" w:line="560" w:lineRule="exact"/>
        <w:ind w:firstLine="641"/>
        <w:jc w:val="both"/>
        <w:rPr>
          <w:rFonts w:ascii="华文仿宋" w:hAnsi="华文仿宋" w:eastAsia="华文仿宋" w:cs="仿宋_GB2312"/>
          <w:color w:val="auto"/>
          <w:sz w:val="32"/>
          <w:szCs w:val="32"/>
        </w:rPr>
      </w:pPr>
      <w:r>
        <w:rPr>
          <w:rFonts w:hint="eastAsia" w:ascii="华文仿宋" w:hAnsi="华文仿宋" w:eastAsia="华文仿宋" w:cs="仿宋_GB2312"/>
          <w:b/>
          <w:bCs/>
          <w:color w:val="auto"/>
          <w:spacing w:val="0"/>
          <w:sz w:val="32"/>
          <w:szCs w:val="32"/>
        </w:rPr>
        <w:t>四、发挥企业主体作用</w:t>
      </w:r>
    </w:p>
    <w:p>
      <w:pPr>
        <w:ind w:firstLine="641"/>
        <w:rPr>
          <w:rFonts w:ascii="华文仿宋" w:hAnsi="华文仿宋" w:eastAsia="华文仿宋" w:cs="仿宋_GB2312"/>
          <w:color w:val="auto"/>
          <w:sz w:val="32"/>
          <w:szCs w:val="32"/>
        </w:rPr>
      </w:pPr>
      <w:r>
        <w:rPr>
          <w:rFonts w:hint="eastAsia" w:ascii="华文仿宋" w:hAnsi="华文仿宋" w:eastAsia="华文仿宋" w:cs="仿宋_GB2312"/>
          <w:b/>
          <w:bCs/>
          <w:color w:val="auto"/>
          <w:kern w:val="0"/>
          <w:sz w:val="32"/>
          <w:szCs w:val="32"/>
        </w:rPr>
        <w:t>（11）完善自主评价机制。</w:t>
      </w:r>
      <w:r>
        <w:rPr>
          <w:rFonts w:ascii="华文仿宋" w:hAnsi="华文仿宋" w:eastAsia="华文仿宋" w:cs="仿宋_GB2312"/>
          <w:color w:val="auto"/>
          <w:sz w:val="32"/>
          <w:szCs w:val="32"/>
        </w:rPr>
        <w:t>充分尊重企业技能人才评价自主权，允许备案的等级认定企业灵活采用多种方式评价技能人才</w:t>
      </w:r>
      <w:r>
        <w:rPr>
          <w:rFonts w:hint="eastAsia" w:ascii="华文仿宋" w:hAnsi="华文仿宋" w:eastAsia="华文仿宋" w:cs="仿宋_GB2312"/>
          <w:color w:val="auto"/>
          <w:sz w:val="32"/>
          <w:szCs w:val="32"/>
        </w:rPr>
        <w:t>。畅通企业专业技术人员职称评审绿色通道。（牵头单位：县人社局；责任单位：县财政局</w:t>
      </w:r>
      <w:r>
        <w:rPr>
          <w:rFonts w:hint="eastAsia" w:ascii="华文仿宋" w:hAnsi="华文仿宋" w:eastAsia="华文仿宋" w:cs="仿宋_GB2312"/>
          <w:color w:val="auto"/>
          <w:sz w:val="32"/>
          <w:szCs w:val="32"/>
          <w:lang w:eastAsia="zh-CN"/>
        </w:rPr>
        <w:t>、</w:t>
      </w:r>
      <w:r>
        <w:rPr>
          <w:rFonts w:hint="eastAsia" w:ascii="华文仿宋" w:hAnsi="华文仿宋" w:eastAsia="华文仿宋" w:cs="仿宋_GB2312"/>
          <w:color w:val="auto"/>
          <w:sz w:val="32"/>
          <w:szCs w:val="32"/>
        </w:rPr>
        <w:t>各乡镇人民政府</w:t>
      </w:r>
      <w:r>
        <w:rPr>
          <w:rFonts w:hint="eastAsia" w:ascii="华文仿宋" w:hAnsi="华文仿宋" w:eastAsia="华文仿宋" w:cs="仿宋_GB2312"/>
          <w:color w:val="auto"/>
          <w:sz w:val="32"/>
          <w:szCs w:val="32"/>
          <w:lang w:eastAsia="zh-CN"/>
        </w:rPr>
        <w:t>、</w:t>
      </w:r>
      <w:r>
        <w:rPr>
          <w:rFonts w:hint="eastAsia" w:ascii="华文仿宋" w:hAnsi="华文仿宋" w:eastAsia="华文仿宋" w:cs="仿宋_GB2312"/>
          <w:color w:val="auto"/>
          <w:sz w:val="32"/>
          <w:szCs w:val="32"/>
        </w:rPr>
        <w:t>东至经开区、大渡口经开区管委会）</w:t>
      </w:r>
    </w:p>
    <w:p>
      <w:pPr>
        <w:pStyle w:val="12"/>
        <w:widowControl/>
        <w:shd w:val="clear" w:color="auto" w:fill="auto"/>
        <w:spacing w:before="0" w:line="560" w:lineRule="exact"/>
        <w:ind w:firstLine="569" w:firstLineChars="177"/>
        <w:jc w:val="both"/>
        <w:rPr>
          <w:rFonts w:hint="eastAsia" w:ascii="华文仿宋" w:hAnsi="华文仿宋" w:eastAsia="华文仿宋" w:cs="仿宋_GB2312"/>
          <w:color w:val="auto"/>
          <w:spacing w:val="0"/>
          <w:kern w:val="2"/>
          <w:sz w:val="32"/>
          <w:szCs w:val="32"/>
          <w:lang w:val="en-US" w:eastAsia="zh-CN" w:bidi="ar-SA"/>
        </w:rPr>
      </w:pPr>
      <w:r>
        <w:rPr>
          <w:rFonts w:hint="eastAsia" w:ascii="华文仿宋" w:hAnsi="华文仿宋" w:eastAsia="华文仿宋" w:cs="仿宋_GB2312"/>
          <w:b/>
          <w:bCs/>
          <w:color w:val="auto"/>
          <w:spacing w:val="0"/>
          <w:kern w:val="0"/>
          <w:sz w:val="32"/>
          <w:szCs w:val="32"/>
          <w:lang w:val="en-US" w:eastAsia="zh-CN" w:bidi="ar-SA"/>
        </w:rPr>
        <w:t>（12）健全激励保障机制。</w:t>
      </w:r>
      <w:r>
        <w:rPr>
          <w:rFonts w:hint="eastAsia" w:ascii="华文仿宋" w:hAnsi="华文仿宋" w:eastAsia="华文仿宋" w:cs="仿宋_GB2312"/>
          <w:color w:val="auto"/>
          <w:spacing w:val="0"/>
          <w:kern w:val="2"/>
          <w:sz w:val="32"/>
          <w:szCs w:val="32"/>
          <w:lang w:val="en-US" w:eastAsia="zh-CN" w:bidi="ar-SA"/>
        </w:rPr>
        <w:t>鼓励</w:t>
      </w:r>
      <w:r>
        <w:rPr>
          <w:rFonts w:hint="eastAsia" w:ascii="华文仿宋" w:hAnsi="华文仿宋" w:eastAsia="华文仿宋" w:cs="仿宋_GB2312"/>
          <w:color w:val="auto"/>
          <w:spacing w:val="0"/>
          <w:kern w:val="2"/>
          <w:sz w:val="32"/>
          <w:szCs w:val="32"/>
          <w:lang w:val="zh-CN" w:eastAsia="zh-CN" w:bidi="ar-SA"/>
        </w:rPr>
        <w:t>企业加强文化和员工服务设施建设，全力打造拴心留人的就业环境。</w:t>
      </w:r>
      <w:r>
        <w:rPr>
          <w:rFonts w:hint="eastAsia" w:ascii="华文仿宋" w:hAnsi="华文仿宋" w:eastAsia="华文仿宋" w:cs="仿宋_GB2312"/>
          <w:color w:val="auto"/>
          <w:spacing w:val="0"/>
          <w:kern w:val="2"/>
          <w:sz w:val="32"/>
          <w:szCs w:val="32"/>
          <w:lang w:val="en-US" w:eastAsia="zh-CN" w:bidi="ar-SA"/>
        </w:rPr>
        <w:t>建立职工工资正常增长激励机制，</w:t>
      </w:r>
      <w:r>
        <w:rPr>
          <w:rFonts w:hint="eastAsia" w:ascii="华文仿宋" w:hAnsi="华文仿宋" w:eastAsia="华文仿宋" w:cs="仿宋_GB2312"/>
          <w:color w:val="auto"/>
          <w:spacing w:val="0"/>
          <w:kern w:val="2"/>
          <w:sz w:val="32"/>
          <w:szCs w:val="32"/>
          <w:lang w:val="zh-CN" w:eastAsia="zh-CN" w:bidi="ar-SA"/>
        </w:rPr>
        <w:t>充分</w:t>
      </w:r>
      <w:r>
        <w:rPr>
          <w:rFonts w:hint="eastAsia" w:ascii="华文仿宋" w:hAnsi="华文仿宋" w:eastAsia="华文仿宋" w:cs="仿宋_GB2312"/>
          <w:color w:val="auto"/>
          <w:spacing w:val="0"/>
          <w:kern w:val="2"/>
          <w:sz w:val="32"/>
          <w:szCs w:val="32"/>
          <w:lang w:val="en-US" w:eastAsia="zh-CN" w:bidi="ar-SA"/>
        </w:rPr>
        <w:t>发挥薪酬激励作用。畅通职工晋升通道，鼓励职工提升能力，对取得高级工、技师、高级技师职业资格，或在职进修取得本科、研究生学历并继续在企业工作的职工给予一定的继续教育补助。（牵头单位：县科经局；责任单位：县教体局、县人社局、各乡镇人民政府、东至经开区、大渡口经开区管委会）</w:t>
      </w:r>
    </w:p>
    <w:p>
      <w:pPr>
        <w:ind w:firstLine="641"/>
        <w:rPr>
          <w:rFonts w:ascii="华文仿宋" w:hAnsi="华文仿宋" w:eastAsia="华文仿宋" w:cs="仿宋_GB2312"/>
          <w:b/>
          <w:bCs/>
          <w:color w:val="auto"/>
          <w:sz w:val="32"/>
          <w:szCs w:val="32"/>
        </w:rPr>
      </w:pPr>
      <w:r>
        <w:rPr>
          <w:rFonts w:hint="eastAsia" w:ascii="华文仿宋" w:hAnsi="华文仿宋" w:eastAsia="华文仿宋" w:cs="仿宋_GB2312"/>
          <w:b/>
          <w:bCs/>
          <w:color w:val="auto"/>
          <w:sz w:val="32"/>
          <w:szCs w:val="32"/>
        </w:rPr>
        <w:t>五、发挥院校主阵地作用</w:t>
      </w:r>
    </w:p>
    <w:p>
      <w:pPr>
        <w:pStyle w:val="5"/>
        <w:shd w:val="clear" w:color="auto" w:fill="FFFFFF"/>
        <w:spacing w:before="0" w:beforeAutospacing="0" w:after="0" w:afterAutospacing="0"/>
        <w:ind w:firstLine="641"/>
        <w:jc w:val="both"/>
        <w:rPr>
          <w:rFonts w:ascii="华文仿宋" w:hAnsi="华文仿宋" w:eastAsia="华文仿宋" w:cs="仿宋"/>
          <w:color w:val="auto"/>
          <w:sz w:val="32"/>
          <w:szCs w:val="32"/>
        </w:rPr>
      </w:pPr>
      <w:r>
        <w:rPr>
          <w:rFonts w:hint="eastAsia" w:ascii="华文仿宋" w:hAnsi="华文仿宋" w:eastAsia="华文仿宋" w:cs="仿宋_GB2312"/>
          <w:b/>
          <w:bCs/>
          <w:color w:val="auto"/>
          <w:sz w:val="32"/>
          <w:szCs w:val="32"/>
        </w:rPr>
        <w:t>（13）</w:t>
      </w:r>
      <w:r>
        <w:rPr>
          <w:rStyle w:val="8"/>
          <w:rFonts w:hint="eastAsia" w:ascii="华文仿宋" w:hAnsi="华文仿宋" w:eastAsia="华文仿宋" w:cs="仿宋"/>
          <w:color w:val="auto"/>
          <w:sz w:val="32"/>
          <w:szCs w:val="32"/>
          <w:shd w:val="clear" w:color="auto" w:fill="FFFFFF"/>
        </w:rPr>
        <w:t>深化“工学一体”培养模式。</w:t>
      </w:r>
      <w:r>
        <w:rPr>
          <w:rFonts w:hint="eastAsia" w:ascii="华文仿宋" w:hAnsi="华文仿宋" w:eastAsia="华文仿宋" w:cs="仿宋_GB2312"/>
          <w:color w:val="auto"/>
          <w:sz w:val="32"/>
          <w:szCs w:val="32"/>
        </w:rPr>
        <w:t>推进池州工业学校围绕我县产业发展方向设置医药化工、高端装备制造等领域专业，支持</w:t>
      </w:r>
      <w:r>
        <w:rPr>
          <w:rFonts w:ascii="华文仿宋" w:hAnsi="华文仿宋" w:eastAsia="华文仿宋" w:cs="仿宋_GB2312"/>
          <w:color w:val="auto"/>
          <w:sz w:val="32"/>
          <w:szCs w:val="32"/>
        </w:rPr>
        <w:t>园区企业</w:t>
      </w:r>
      <w:r>
        <w:rPr>
          <w:rFonts w:hint="eastAsia" w:ascii="华文仿宋" w:hAnsi="华文仿宋" w:eastAsia="华文仿宋" w:cs="仿宋_GB2312"/>
          <w:color w:val="auto"/>
          <w:sz w:val="32"/>
          <w:szCs w:val="32"/>
        </w:rPr>
        <w:t>和县内规上企业</w:t>
      </w:r>
      <w:r>
        <w:rPr>
          <w:rFonts w:ascii="华文仿宋" w:hAnsi="华文仿宋" w:eastAsia="华文仿宋" w:cs="仿宋_GB2312"/>
          <w:color w:val="auto"/>
          <w:sz w:val="32"/>
          <w:szCs w:val="32"/>
        </w:rPr>
        <w:t>与池州工业学校联合开展定向式培</w:t>
      </w:r>
      <w:r>
        <w:rPr>
          <w:rFonts w:hint="eastAsia" w:ascii="华文仿宋" w:hAnsi="华文仿宋" w:eastAsia="华文仿宋" w:cs="仿宋_GB2312"/>
          <w:color w:val="auto"/>
          <w:sz w:val="32"/>
          <w:szCs w:val="32"/>
        </w:rPr>
        <w:t>养和学历提升教育培训模式，年度培养不少于100人，</w:t>
      </w:r>
      <w:r>
        <w:rPr>
          <w:rFonts w:ascii="华文仿宋" w:hAnsi="华文仿宋" w:eastAsia="华文仿宋" w:cs="仿宋_GB2312"/>
          <w:color w:val="auto"/>
          <w:sz w:val="32"/>
          <w:szCs w:val="32"/>
        </w:rPr>
        <w:t>全面推行新型学徒制</w:t>
      </w:r>
      <w:r>
        <w:rPr>
          <w:rFonts w:hint="eastAsia" w:ascii="华文仿宋" w:hAnsi="华文仿宋" w:eastAsia="华文仿宋" w:cs="仿宋_GB2312"/>
          <w:color w:val="auto"/>
          <w:sz w:val="32"/>
          <w:szCs w:val="32"/>
        </w:rPr>
        <w:t>。将年度实际在东至园区企业和县内其它规上企业就业的池州工业学校毕业生数纳入县政府对县教体局和池州工业学校的考核。加强在池院校和重点企业联合招生、联合培养力度，并</w:t>
      </w:r>
      <w:r>
        <w:rPr>
          <w:rFonts w:hint="eastAsia" w:ascii="华文仿宋" w:hAnsi="华文仿宋" w:eastAsia="华文仿宋"/>
          <w:color w:val="auto"/>
          <w:sz w:val="32"/>
          <w:szCs w:val="32"/>
          <w:lang w:val="zh-CN" w:bidi="zh-CN"/>
        </w:rPr>
        <w:t>给予</w:t>
      </w:r>
      <w:r>
        <w:rPr>
          <w:rFonts w:hint="eastAsia" w:ascii="华文仿宋" w:hAnsi="华文仿宋" w:eastAsia="华文仿宋"/>
          <w:color w:val="auto"/>
          <w:sz w:val="32"/>
          <w:szCs w:val="32"/>
          <w:lang w:bidi="zh-CN"/>
        </w:rPr>
        <w:t>院</w:t>
      </w:r>
      <w:r>
        <w:rPr>
          <w:rFonts w:hint="eastAsia" w:ascii="华文仿宋" w:hAnsi="华文仿宋" w:eastAsia="华文仿宋"/>
          <w:color w:val="auto"/>
          <w:sz w:val="32"/>
          <w:szCs w:val="32"/>
          <w:lang w:val="zh-CN" w:bidi="zh-CN"/>
        </w:rPr>
        <w:t>校</w:t>
      </w:r>
      <w:r>
        <w:rPr>
          <w:rFonts w:hint="eastAsia" w:ascii="华文仿宋" w:hAnsi="华文仿宋" w:eastAsia="华文仿宋"/>
          <w:color w:val="auto"/>
          <w:sz w:val="32"/>
          <w:szCs w:val="32"/>
          <w:lang w:bidi="zh-CN"/>
        </w:rPr>
        <w:t>一定</w:t>
      </w:r>
      <w:r>
        <w:rPr>
          <w:rFonts w:hint="eastAsia" w:ascii="华文仿宋" w:hAnsi="华文仿宋" w:eastAsia="华文仿宋"/>
          <w:color w:val="auto"/>
          <w:sz w:val="32"/>
          <w:szCs w:val="32"/>
          <w:lang w:val="zh-CN" w:bidi="zh-CN"/>
        </w:rPr>
        <w:t>补贴，</w:t>
      </w:r>
      <w:r>
        <w:rPr>
          <w:rFonts w:hint="eastAsia" w:ascii="华文仿宋" w:hAnsi="华文仿宋" w:eastAsia="华文仿宋" w:cs="仿宋_GB2312"/>
          <w:color w:val="auto"/>
          <w:sz w:val="32"/>
          <w:szCs w:val="32"/>
        </w:rPr>
        <w:t>建立院校向我县企业培养和输送实用型人才稳定通道。（牵头单位：县教体局；责任单位：县政府办、县人社局、池州工业学校</w:t>
      </w:r>
      <w:r>
        <w:rPr>
          <w:rFonts w:hint="eastAsia" w:ascii="华文仿宋" w:hAnsi="华文仿宋" w:eastAsia="华文仿宋" w:cs="仿宋_GB2312"/>
          <w:color w:val="auto"/>
          <w:sz w:val="32"/>
          <w:szCs w:val="32"/>
          <w:lang w:eastAsia="zh-CN"/>
        </w:rPr>
        <w:t>、</w:t>
      </w:r>
      <w:bookmarkStart w:id="0" w:name="_GoBack"/>
      <w:bookmarkEnd w:id="0"/>
      <w:r>
        <w:rPr>
          <w:rFonts w:hint="eastAsia" w:ascii="华文仿宋" w:hAnsi="华文仿宋" w:eastAsia="华文仿宋" w:cs="仿宋_GB2312"/>
          <w:color w:val="auto"/>
          <w:sz w:val="32"/>
          <w:szCs w:val="32"/>
        </w:rPr>
        <w:t>东至经开区、大渡口经开区管委会）</w:t>
      </w:r>
    </w:p>
    <w:p>
      <w:pPr>
        <w:pStyle w:val="4"/>
        <w:ind w:firstLine="626" w:firstLineChars="195"/>
        <w:jc w:val="both"/>
        <w:rPr>
          <w:rFonts w:hint="default" w:ascii="华文仿宋" w:hAnsi="华文仿宋" w:eastAsia="华文仿宋" w:cs="黑体"/>
          <w:b/>
          <w:color w:val="auto"/>
          <w:sz w:val="32"/>
          <w:szCs w:val="32"/>
        </w:rPr>
      </w:pPr>
      <w:r>
        <w:rPr>
          <w:rFonts w:ascii="华文仿宋" w:hAnsi="华文仿宋" w:eastAsia="华文仿宋" w:cs="黑体"/>
          <w:b/>
          <w:color w:val="auto"/>
          <w:sz w:val="32"/>
          <w:szCs w:val="32"/>
        </w:rPr>
        <w:t>六、其他</w:t>
      </w:r>
    </w:p>
    <w:p>
      <w:pPr>
        <w:ind w:firstLine="640"/>
        <w:rPr>
          <w:rFonts w:ascii="华文仿宋" w:hAnsi="华文仿宋" w:eastAsia="华文仿宋" w:cs="仿宋_GB2312"/>
          <w:color w:val="auto"/>
          <w:sz w:val="32"/>
          <w:szCs w:val="32"/>
        </w:rPr>
      </w:pPr>
      <w:r>
        <w:rPr>
          <w:rFonts w:hint="eastAsia" w:ascii="华文仿宋" w:hAnsi="华文仿宋" w:eastAsia="华文仿宋" w:cs="仿宋_GB2312"/>
          <w:color w:val="auto"/>
          <w:sz w:val="32"/>
          <w:szCs w:val="32"/>
        </w:rPr>
        <w:t>本细则所指企业为东至县经开区、大渡口经开区的企业及县内规上企业。</w:t>
      </w:r>
    </w:p>
    <w:p>
      <w:pPr>
        <w:pStyle w:val="4"/>
        <w:ind w:firstLine="640"/>
        <w:jc w:val="both"/>
        <w:rPr>
          <w:rFonts w:hint="default" w:ascii="华文仿宋" w:hAnsi="华文仿宋" w:eastAsia="华文仿宋" w:cs="仿宋_GB2312"/>
          <w:color w:val="auto"/>
          <w:sz w:val="32"/>
          <w:szCs w:val="32"/>
        </w:rPr>
      </w:pPr>
      <w:r>
        <w:rPr>
          <w:rFonts w:ascii="华文仿宋" w:hAnsi="华文仿宋" w:eastAsia="华文仿宋" w:cs="仿宋_GB2312"/>
          <w:color w:val="auto"/>
          <w:sz w:val="32"/>
          <w:szCs w:val="32"/>
        </w:rPr>
        <w:t>本细则由县人社局负责解释。本细则从2022年3月</w:t>
      </w:r>
      <w:r>
        <w:rPr>
          <w:rFonts w:hint="eastAsia" w:ascii="华文仿宋" w:hAnsi="华文仿宋" w:eastAsia="华文仿宋" w:cs="仿宋_GB2312"/>
          <w:color w:val="auto"/>
          <w:sz w:val="32"/>
          <w:szCs w:val="32"/>
          <w:lang w:val="en-US" w:eastAsia="zh-CN"/>
        </w:rPr>
        <w:t>1</w:t>
      </w:r>
      <w:r>
        <w:rPr>
          <w:rFonts w:ascii="华文仿宋" w:hAnsi="华文仿宋" w:eastAsia="华文仿宋" w:cs="仿宋_GB2312"/>
          <w:color w:val="auto"/>
          <w:sz w:val="32"/>
          <w:szCs w:val="32"/>
        </w:rPr>
        <w:t>日起开始执行，试行期一年。实施期间，国家、省、市出台新规定的从其规定。</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AF3982"/>
    <w:rsid w:val="0001579C"/>
    <w:rsid w:val="00074EC9"/>
    <w:rsid w:val="000F4EE2"/>
    <w:rsid w:val="0014238F"/>
    <w:rsid w:val="001434FD"/>
    <w:rsid w:val="001738BF"/>
    <w:rsid w:val="00193657"/>
    <w:rsid w:val="001E24A2"/>
    <w:rsid w:val="001F1FD9"/>
    <w:rsid w:val="0027324F"/>
    <w:rsid w:val="00306539"/>
    <w:rsid w:val="003B0398"/>
    <w:rsid w:val="003F753A"/>
    <w:rsid w:val="00405E49"/>
    <w:rsid w:val="0041380B"/>
    <w:rsid w:val="004203CC"/>
    <w:rsid w:val="00492E5B"/>
    <w:rsid w:val="00495169"/>
    <w:rsid w:val="004D3B00"/>
    <w:rsid w:val="004F28F3"/>
    <w:rsid w:val="00520FD0"/>
    <w:rsid w:val="00552D0C"/>
    <w:rsid w:val="005637B1"/>
    <w:rsid w:val="00574D3F"/>
    <w:rsid w:val="005909F9"/>
    <w:rsid w:val="00654C2C"/>
    <w:rsid w:val="00657200"/>
    <w:rsid w:val="006665B8"/>
    <w:rsid w:val="0069192E"/>
    <w:rsid w:val="006A382E"/>
    <w:rsid w:val="006B7353"/>
    <w:rsid w:val="006C200C"/>
    <w:rsid w:val="006D2612"/>
    <w:rsid w:val="006D713F"/>
    <w:rsid w:val="007262A4"/>
    <w:rsid w:val="007A41A5"/>
    <w:rsid w:val="007E7ABB"/>
    <w:rsid w:val="008238CC"/>
    <w:rsid w:val="009220A2"/>
    <w:rsid w:val="0092417D"/>
    <w:rsid w:val="00960F36"/>
    <w:rsid w:val="009743DB"/>
    <w:rsid w:val="009C6E16"/>
    <w:rsid w:val="009D3745"/>
    <w:rsid w:val="009E73A1"/>
    <w:rsid w:val="009E7E39"/>
    <w:rsid w:val="00AF3982"/>
    <w:rsid w:val="00B37BE4"/>
    <w:rsid w:val="00B45929"/>
    <w:rsid w:val="00B65B65"/>
    <w:rsid w:val="00B71F65"/>
    <w:rsid w:val="00B766F2"/>
    <w:rsid w:val="00BB1B25"/>
    <w:rsid w:val="00BB743E"/>
    <w:rsid w:val="00BE25FA"/>
    <w:rsid w:val="00BF0D52"/>
    <w:rsid w:val="00C1317A"/>
    <w:rsid w:val="00C6687D"/>
    <w:rsid w:val="00C83B75"/>
    <w:rsid w:val="00CC5E6B"/>
    <w:rsid w:val="00CD6D08"/>
    <w:rsid w:val="00D13DE2"/>
    <w:rsid w:val="00D65CD8"/>
    <w:rsid w:val="00D8161C"/>
    <w:rsid w:val="00DA6D46"/>
    <w:rsid w:val="00DB4405"/>
    <w:rsid w:val="00E008A7"/>
    <w:rsid w:val="00E023B0"/>
    <w:rsid w:val="00E07C9A"/>
    <w:rsid w:val="00E206DE"/>
    <w:rsid w:val="00E43F64"/>
    <w:rsid w:val="00EB5031"/>
    <w:rsid w:val="00EB65D3"/>
    <w:rsid w:val="00EC0C55"/>
    <w:rsid w:val="00EC38A0"/>
    <w:rsid w:val="00EE1998"/>
    <w:rsid w:val="00EF7B7E"/>
    <w:rsid w:val="00F145DC"/>
    <w:rsid w:val="00F53412"/>
    <w:rsid w:val="01671BDD"/>
    <w:rsid w:val="016D4D19"/>
    <w:rsid w:val="0195399E"/>
    <w:rsid w:val="01E74ACC"/>
    <w:rsid w:val="021D04ED"/>
    <w:rsid w:val="026361B1"/>
    <w:rsid w:val="02E334E5"/>
    <w:rsid w:val="03435D32"/>
    <w:rsid w:val="03B90BED"/>
    <w:rsid w:val="03FD05D6"/>
    <w:rsid w:val="03FF434E"/>
    <w:rsid w:val="041F679F"/>
    <w:rsid w:val="0439261B"/>
    <w:rsid w:val="043F5D54"/>
    <w:rsid w:val="052676B9"/>
    <w:rsid w:val="05BE5B43"/>
    <w:rsid w:val="05DD5070"/>
    <w:rsid w:val="06AE2963"/>
    <w:rsid w:val="06B62CBE"/>
    <w:rsid w:val="06F23F44"/>
    <w:rsid w:val="0713087F"/>
    <w:rsid w:val="07852DBD"/>
    <w:rsid w:val="083C281C"/>
    <w:rsid w:val="08512C9F"/>
    <w:rsid w:val="08836BD0"/>
    <w:rsid w:val="09774987"/>
    <w:rsid w:val="09AB4631"/>
    <w:rsid w:val="09D122E9"/>
    <w:rsid w:val="0A232419"/>
    <w:rsid w:val="0A2F3F48"/>
    <w:rsid w:val="0A375485"/>
    <w:rsid w:val="0A42533E"/>
    <w:rsid w:val="0A813700"/>
    <w:rsid w:val="0AAE6186"/>
    <w:rsid w:val="0AD9556F"/>
    <w:rsid w:val="0B550CF8"/>
    <w:rsid w:val="0BB80A6B"/>
    <w:rsid w:val="0BD319BF"/>
    <w:rsid w:val="0C751558"/>
    <w:rsid w:val="0C8E1F52"/>
    <w:rsid w:val="0D076237"/>
    <w:rsid w:val="0D77646C"/>
    <w:rsid w:val="0E341099"/>
    <w:rsid w:val="0E7C47EE"/>
    <w:rsid w:val="0E7E1390"/>
    <w:rsid w:val="0E9B1118"/>
    <w:rsid w:val="0F43565D"/>
    <w:rsid w:val="0F690408"/>
    <w:rsid w:val="0F757B9E"/>
    <w:rsid w:val="100A4128"/>
    <w:rsid w:val="10366F89"/>
    <w:rsid w:val="104135F9"/>
    <w:rsid w:val="10CB7366"/>
    <w:rsid w:val="10D81657"/>
    <w:rsid w:val="11FD3BA1"/>
    <w:rsid w:val="120E2DB8"/>
    <w:rsid w:val="12AB4E23"/>
    <w:rsid w:val="132536A6"/>
    <w:rsid w:val="13C921A0"/>
    <w:rsid w:val="13E442D1"/>
    <w:rsid w:val="140E5EE8"/>
    <w:rsid w:val="14184FB8"/>
    <w:rsid w:val="14214E0F"/>
    <w:rsid w:val="14421CA1"/>
    <w:rsid w:val="1448282E"/>
    <w:rsid w:val="14875E2B"/>
    <w:rsid w:val="15D942D4"/>
    <w:rsid w:val="16225C7A"/>
    <w:rsid w:val="16281575"/>
    <w:rsid w:val="16CD5BE6"/>
    <w:rsid w:val="16DA04D2"/>
    <w:rsid w:val="17617126"/>
    <w:rsid w:val="17984446"/>
    <w:rsid w:val="189B3AC2"/>
    <w:rsid w:val="18BD1C8B"/>
    <w:rsid w:val="19526877"/>
    <w:rsid w:val="19B72B7E"/>
    <w:rsid w:val="1B083691"/>
    <w:rsid w:val="1B220C8E"/>
    <w:rsid w:val="1B4346C9"/>
    <w:rsid w:val="1B7E3953"/>
    <w:rsid w:val="1C3A3A43"/>
    <w:rsid w:val="1C56667E"/>
    <w:rsid w:val="1CA337EF"/>
    <w:rsid w:val="1CA4388D"/>
    <w:rsid w:val="1CED1F3C"/>
    <w:rsid w:val="1CED6B1E"/>
    <w:rsid w:val="1CFD6561"/>
    <w:rsid w:val="1D4529C5"/>
    <w:rsid w:val="1DEC54EC"/>
    <w:rsid w:val="1DFC5003"/>
    <w:rsid w:val="1E411A40"/>
    <w:rsid w:val="1EBE2A72"/>
    <w:rsid w:val="1F2D1B09"/>
    <w:rsid w:val="1F7073C8"/>
    <w:rsid w:val="20010A57"/>
    <w:rsid w:val="201F799D"/>
    <w:rsid w:val="20344F28"/>
    <w:rsid w:val="20607AD1"/>
    <w:rsid w:val="21303941"/>
    <w:rsid w:val="2149662E"/>
    <w:rsid w:val="21A8172A"/>
    <w:rsid w:val="221E379A"/>
    <w:rsid w:val="2228286B"/>
    <w:rsid w:val="22525B39"/>
    <w:rsid w:val="22A00653"/>
    <w:rsid w:val="22AA3280"/>
    <w:rsid w:val="22AC524A"/>
    <w:rsid w:val="22B86CF3"/>
    <w:rsid w:val="22E5250A"/>
    <w:rsid w:val="230205C2"/>
    <w:rsid w:val="23360FB7"/>
    <w:rsid w:val="23871351"/>
    <w:rsid w:val="2412732E"/>
    <w:rsid w:val="24F737AC"/>
    <w:rsid w:val="25042E4A"/>
    <w:rsid w:val="252C18E0"/>
    <w:rsid w:val="25643BBA"/>
    <w:rsid w:val="258055A9"/>
    <w:rsid w:val="26532A92"/>
    <w:rsid w:val="267A50BF"/>
    <w:rsid w:val="26CA2F9D"/>
    <w:rsid w:val="26F37962"/>
    <w:rsid w:val="27554102"/>
    <w:rsid w:val="27D72D69"/>
    <w:rsid w:val="280A6424"/>
    <w:rsid w:val="28125B4F"/>
    <w:rsid w:val="28BA1D43"/>
    <w:rsid w:val="28BE7A85"/>
    <w:rsid w:val="29DF7CB3"/>
    <w:rsid w:val="2A1702F0"/>
    <w:rsid w:val="2A9D48F3"/>
    <w:rsid w:val="2AB705D3"/>
    <w:rsid w:val="2AD4533E"/>
    <w:rsid w:val="2AEC2D8A"/>
    <w:rsid w:val="2B006133"/>
    <w:rsid w:val="2B083239"/>
    <w:rsid w:val="2B4029D3"/>
    <w:rsid w:val="2B473D61"/>
    <w:rsid w:val="2BBF4AD4"/>
    <w:rsid w:val="2CCB6C14"/>
    <w:rsid w:val="2D0363AE"/>
    <w:rsid w:val="2D2D342B"/>
    <w:rsid w:val="2D3227EF"/>
    <w:rsid w:val="2E2959A0"/>
    <w:rsid w:val="2E2B61FC"/>
    <w:rsid w:val="2E422F06"/>
    <w:rsid w:val="2F4470CB"/>
    <w:rsid w:val="2FDA5862"/>
    <w:rsid w:val="2FF95846"/>
    <w:rsid w:val="30393E95"/>
    <w:rsid w:val="307849BD"/>
    <w:rsid w:val="30AD0FC8"/>
    <w:rsid w:val="30C5246F"/>
    <w:rsid w:val="31556965"/>
    <w:rsid w:val="316D2048"/>
    <w:rsid w:val="317E6003"/>
    <w:rsid w:val="31D541F2"/>
    <w:rsid w:val="3216448E"/>
    <w:rsid w:val="33844E91"/>
    <w:rsid w:val="33BF2903"/>
    <w:rsid w:val="33F12B8C"/>
    <w:rsid w:val="34013C3A"/>
    <w:rsid w:val="34BB756E"/>
    <w:rsid w:val="34BF3F5C"/>
    <w:rsid w:val="352F3276"/>
    <w:rsid w:val="35727C2D"/>
    <w:rsid w:val="361C527B"/>
    <w:rsid w:val="361D167E"/>
    <w:rsid w:val="36941E25"/>
    <w:rsid w:val="37145A14"/>
    <w:rsid w:val="37881C38"/>
    <w:rsid w:val="37BA58BB"/>
    <w:rsid w:val="37EF06E3"/>
    <w:rsid w:val="380A6843"/>
    <w:rsid w:val="381C0324"/>
    <w:rsid w:val="388D1222"/>
    <w:rsid w:val="39461AFC"/>
    <w:rsid w:val="394A2C6F"/>
    <w:rsid w:val="39ED07DF"/>
    <w:rsid w:val="3A944AE9"/>
    <w:rsid w:val="3B0752BB"/>
    <w:rsid w:val="3B2D43AF"/>
    <w:rsid w:val="3B5878C5"/>
    <w:rsid w:val="3C626EC2"/>
    <w:rsid w:val="3CA75D75"/>
    <w:rsid w:val="3CCA65A0"/>
    <w:rsid w:val="3CE11BD7"/>
    <w:rsid w:val="3D4225DB"/>
    <w:rsid w:val="3DFA6A5E"/>
    <w:rsid w:val="3E060EAF"/>
    <w:rsid w:val="3E884B92"/>
    <w:rsid w:val="3EB23790"/>
    <w:rsid w:val="3EF039F0"/>
    <w:rsid w:val="3F354D71"/>
    <w:rsid w:val="3F436D2C"/>
    <w:rsid w:val="3F594417"/>
    <w:rsid w:val="3F6C7DE3"/>
    <w:rsid w:val="3F7647BE"/>
    <w:rsid w:val="3F855A6C"/>
    <w:rsid w:val="3F9F0496"/>
    <w:rsid w:val="3FBC5B7D"/>
    <w:rsid w:val="3FF91366"/>
    <w:rsid w:val="402F74FD"/>
    <w:rsid w:val="408B7A1F"/>
    <w:rsid w:val="40C81049"/>
    <w:rsid w:val="40CA79E4"/>
    <w:rsid w:val="40E11CDA"/>
    <w:rsid w:val="4100267A"/>
    <w:rsid w:val="41047B5C"/>
    <w:rsid w:val="41314E40"/>
    <w:rsid w:val="41432DC5"/>
    <w:rsid w:val="41695C59"/>
    <w:rsid w:val="418C651A"/>
    <w:rsid w:val="42701998"/>
    <w:rsid w:val="42870F07"/>
    <w:rsid w:val="42AF50EA"/>
    <w:rsid w:val="42FC2646"/>
    <w:rsid w:val="431E31A2"/>
    <w:rsid w:val="432A7D99"/>
    <w:rsid w:val="435A2C89"/>
    <w:rsid w:val="43805C0B"/>
    <w:rsid w:val="438956EE"/>
    <w:rsid w:val="43BF18FA"/>
    <w:rsid w:val="43EB0C2A"/>
    <w:rsid w:val="440F51E1"/>
    <w:rsid w:val="44472BCC"/>
    <w:rsid w:val="446B1222"/>
    <w:rsid w:val="44F00B6E"/>
    <w:rsid w:val="44F06DC0"/>
    <w:rsid w:val="4629229F"/>
    <w:rsid w:val="463D3FE4"/>
    <w:rsid w:val="46EC35A4"/>
    <w:rsid w:val="46F920EB"/>
    <w:rsid w:val="46FA3916"/>
    <w:rsid w:val="47011794"/>
    <w:rsid w:val="470628CB"/>
    <w:rsid w:val="47117BCF"/>
    <w:rsid w:val="472D60AA"/>
    <w:rsid w:val="476D46F8"/>
    <w:rsid w:val="47AD6B62"/>
    <w:rsid w:val="488717E9"/>
    <w:rsid w:val="48A3080B"/>
    <w:rsid w:val="48B63E7D"/>
    <w:rsid w:val="48FD0FF5"/>
    <w:rsid w:val="4AA3404A"/>
    <w:rsid w:val="4AFD4B68"/>
    <w:rsid w:val="4B1D4687"/>
    <w:rsid w:val="4BAD466B"/>
    <w:rsid w:val="4BD702A6"/>
    <w:rsid w:val="4C2548E4"/>
    <w:rsid w:val="4CB31DDA"/>
    <w:rsid w:val="4CBE2976"/>
    <w:rsid w:val="4CC13F35"/>
    <w:rsid w:val="4D153868"/>
    <w:rsid w:val="4D5123C6"/>
    <w:rsid w:val="4D606695"/>
    <w:rsid w:val="4DAE0576"/>
    <w:rsid w:val="4DD27B9B"/>
    <w:rsid w:val="4E1E40CB"/>
    <w:rsid w:val="4E9702AC"/>
    <w:rsid w:val="4F244236"/>
    <w:rsid w:val="4F845943"/>
    <w:rsid w:val="4FE747AD"/>
    <w:rsid w:val="51AE0853"/>
    <w:rsid w:val="51F779E0"/>
    <w:rsid w:val="53572EC8"/>
    <w:rsid w:val="53733096"/>
    <w:rsid w:val="539A7081"/>
    <w:rsid w:val="55B02D61"/>
    <w:rsid w:val="56B45E9F"/>
    <w:rsid w:val="5726583A"/>
    <w:rsid w:val="574B5455"/>
    <w:rsid w:val="57A06C54"/>
    <w:rsid w:val="57BF6F5C"/>
    <w:rsid w:val="58006EC2"/>
    <w:rsid w:val="587558FF"/>
    <w:rsid w:val="5A3C7036"/>
    <w:rsid w:val="5A88278D"/>
    <w:rsid w:val="5AB863B6"/>
    <w:rsid w:val="5AD57D0D"/>
    <w:rsid w:val="5B572FF6"/>
    <w:rsid w:val="5BE95FC4"/>
    <w:rsid w:val="5CA16EC6"/>
    <w:rsid w:val="5CA249EC"/>
    <w:rsid w:val="5CC54895"/>
    <w:rsid w:val="5CD8040E"/>
    <w:rsid w:val="5CF50FC0"/>
    <w:rsid w:val="5D2B5A57"/>
    <w:rsid w:val="5D3A175F"/>
    <w:rsid w:val="5D6D5E06"/>
    <w:rsid w:val="5D710FE5"/>
    <w:rsid w:val="5D953E89"/>
    <w:rsid w:val="5E211F8A"/>
    <w:rsid w:val="5E654016"/>
    <w:rsid w:val="5F630F69"/>
    <w:rsid w:val="5FBF1411"/>
    <w:rsid w:val="60220CE1"/>
    <w:rsid w:val="60471B32"/>
    <w:rsid w:val="60510CD6"/>
    <w:rsid w:val="608F5287"/>
    <w:rsid w:val="61074B75"/>
    <w:rsid w:val="62E63771"/>
    <w:rsid w:val="630B1090"/>
    <w:rsid w:val="636C7B02"/>
    <w:rsid w:val="63C74423"/>
    <w:rsid w:val="640F3589"/>
    <w:rsid w:val="6486074F"/>
    <w:rsid w:val="648C220A"/>
    <w:rsid w:val="64A96E7F"/>
    <w:rsid w:val="6508469C"/>
    <w:rsid w:val="655356FF"/>
    <w:rsid w:val="65770218"/>
    <w:rsid w:val="65E322FD"/>
    <w:rsid w:val="65F36696"/>
    <w:rsid w:val="65FB16AA"/>
    <w:rsid w:val="660D737A"/>
    <w:rsid w:val="66524D8D"/>
    <w:rsid w:val="66A44F7E"/>
    <w:rsid w:val="66F732BA"/>
    <w:rsid w:val="67092874"/>
    <w:rsid w:val="676E637B"/>
    <w:rsid w:val="67AE693B"/>
    <w:rsid w:val="67B37AAD"/>
    <w:rsid w:val="682E2B9F"/>
    <w:rsid w:val="68624261"/>
    <w:rsid w:val="689F45B5"/>
    <w:rsid w:val="69474951"/>
    <w:rsid w:val="69A17613"/>
    <w:rsid w:val="6A0942FC"/>
    <w:rsid w:val="6A3053E5"/>
    <w:rsid w:val="6A470981"/>
    <w:rsid w:val="6AF503DD"/>
    <w:rsid w:val="6BC56001"/>
    <w:rsid w:val="6BC73B27"/>
    <w:rsid w:val="6C094140"/>
    <w:rsid w:val="6D697480"/>
    <w:rsid w:val="6DBE71AC"/>
    <w:rsid w:val="6DEF3809"/>
    <w:rsid w:val="6DF42BCE"/>
    <w:rsid w:val="6F1F1ECC"/>
    <w:rsid w:val="6F481423"/>
    <w:rsid w:val="6F5B5AA7"/>
    <w:rsid w:val="6FA752D8"/>
    <w:rsid w:val="6FC211D5"/>
    <w:rsid w:val="6FCC6C7D"/>
    <w:rsid w:val="6FF3138F"/>
    <w:rsid w:val="701D32E6"/>
    <w:rsid w:val="70C745CA"/>
    <w:rsid w:val="712B6906"/>
    <w:rsid w:val="71AC3EEB"/>
    <w:rsid w:val="727D13E4"/>
    <w:rsid w:val="730C2768"/>
    <w:rsid w:val="73160DE0"/>
    <w:rsid w:val="73B057E9"/>
    <w:rsid w:val="73F15E96"/>
    <w:rsid w:val="74261920"/>
    <w:rsid w:val="746F7452"/>
    <w:rsid w:val="751A73BE"/>
    <w:rsid w:val="754601B3"/>
    <w:rsid w:val="75DF65E3"/>
    <w:rsid w:val="76393F72"/>
    <w:rsid w:val="76746E84"/>
    <w:rsid w:val="76976A39"/>
    <w:rsid w:val="769B62DC"/>
    <w:rsid w:val="76F235D5"/>
    <w:rsid w:val="7722255A"/>
    <w:rsid w:val="77DA1086"/>
    <w:rsid w:val="78351540"/>
    <w:rsid w:val="784C1F84"/>
    <w:rsid w:val="787B26A4"/>
    <w:rsid w:val="78830961"/>
    <w:rsid w:val="78E0542E"/>
    <w:rsid w:val="78F41CD4"/>
    <w:rsid w:val="79294073"/>
    <w:rsid w:val="792E3438"/>
    <w:rsid w:val="794D1B62"/>
    <w:rsid w:val="79A010BC"/>
    <w:rsid w:val="79BC0A44"/>
    <w:rsid w:val="79D9685C"/>
    <w:rsid w:val="7A195E96"/>
    <w:rsid w:val="7A353569"/>
    <w:rsid w:val="7B780418"/>
    <w:rsid w:val="7C2A25DC"/>
    <w:rsid w:val="7D4F3314"/>
    <w:rsid w:val="7D8053CE"/>
    <w:rsid w:val="7D8E26F7"/>
    <w:rsid w:val="7DDF4122"/>
    <w:rsid w:val="7E1C7D03"/>
    <w:rsid w:val="7E301A00"/>
    <w:rsid w:val="7E562DB4"/>
    <w:rsid w:val="7EC00FD6"/>
    <w:rsid w:val="7ECD35B5"/>
    <w:rsid w:val="7F0A2251"/>
    <w:rsid w:val="7FD14B1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4">
    <w:name w:val="HTML Preformatted"/>
    <w:basedOn w:val="1"/>
    <w:link w:val="1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5">
    <w:name w:val="Normal (Web)"/>
    <w:basedOn w:val="1"/>
    <w:qFormat/>
    <w:uiPriority w:val="0"/>
    <w:pPr>
      <w:spacing w:before="100" w:beforeAutospacing="1" w:after="100" w:afterAutospacing="1"/>
      <w:jc w:val="left"/>
    </w:pPr>
    <w:rPr>
      <w:rFonts w:ascii="Calibri" w:hAnsi="Calibri" w:eastAsia="宋体" w:cs="Times New Roman"/>
      <w:kern w:val="0"/>
      <w:sz w:val="24"/>
    </w:rPr>
  </w:style>
  <w:style w:type="character" w:styleId="8">
    <w:name w:val="Strong"/>
    <w:basedOn w:val="7"/>
    <w:qFormat/>
    <w:uiPriority w:val="0"/>
    <w:rPr>
      <w:b/>
    </w:rPr>
  </w:style>
  <w:style w:type="character" w:customStyle="1" w:styleId="9">
    <w:name w:val="页眉 Char"/>
    <w:basedOn w:val="7"/>
    <w:link w:val="3"/>
    <w:qFormat/>
    <w:uiPriority w:val="0"/>
    <w:rPr>
      <w:rFonts w:asciiTheme="minorHAnsi" w:hAnsiTheme="minorHAnsi" w:eastAsiaTheme="minorEastAsia" w:cstheme="minorBidi"/>
      <w:kern w:val="2"/>
      <w:sz w:val="18"/>
      <w:szCs w:val="18"/>
    </w:rPr>
  </w:style>
  <w:style w:type="character" w:customStyle="1" w:styleId="10">
    <w:name w:val="页脚 Char"/>
    <w:basedOn w:val="7"/>
    <w:link w:val="2"/>
    <w:qFormat/>
    <w:uiPriority w:val="0"/>
    <w:rPr>
      <w:rFonts w:asciiTheme="minorHAnsi" w:hAnsiTheme="minorHAnsi" w:eastAsiaTheme="minorEastAsia" w:cstheme="minorBidi"/>
      <w:kern w:val="2"/>
      <w:sz w:val="18"/>
      <w:szCs w:val="18"/>
    </w:rPr>
  </w:style>
  <w:style w:type="character" w:customStyle="1" w:styleId="11">
    <w:name w:val="MSG_EN_FONT_STYLE_NAME_TEMPLATE_ROLE_NUMBER MSG_EN_FONT_STYLE_NAME_BY_ROLE_TEXT 2_"/>
    <w:basedOn w:val="7"/>
    <w:link w:val="12"/>
    <w:qFormat/>
    <w:uiPriority w:val="0"/>
    <w:rPr>
      <w:rFonts w:ascii="宋体" w:hAnsi="宋体" w:cs="宋体"/>
      <w:spacing w:val="20"/>
      <w:sz w:val="30"/>
      <w:szCs w:val="30"/>
      <w:shd w:val="clear" w:color="auto" w:fill="FFFFFF"/>
    </w:rPr>
  </w:style>
  <w:style w:type="paragraph" w:customStyle="1" w:styleId="12">
    <w:name w:val="MSG_EN_FONT_STYLE_NAME_TEMPLATE_ROLE_NUMBER MSG_EN_FONT_STYLE_NAME_BY_ROLE_TEXT 2"/>
    <w:basedOn w:val="1"/>
    <w:link w:val="11"/>
    <w:qFormat/>
    <w:uiPriority w:val="0"/>
    <w:pPr>
      <w:shd w:val="clear" w:color="auto" w:fill="FFFFFF"/>
      <w:spacing w:before="600" w:line="600" w:lineRule="exact"/>
      <w:jc w:val="distribute"/>
    </w:pPr>
    <w:rPr>
      <w:rFonts w:ascii="宋体" w:hAnsi="宋体" w:eastAsia="宋体" w:cs="宋体"/>
      <w:spacing w:val="20"/>
      <w:kern w:val="0"/>
      <w:sz w:val="30"/>
      <w:szCs w:val="30"/>
    </w:rPr>
  </w:style>
  <w:style w:type="character" w:customStyle="1" w:styleId="13">
    <w:name w:val="MSG_EN_FONT_STYLE_NAME_TEMPLATE_ROLE_LEVEL MSG_EN_FONT_STYLE_NAME_BY_ROLE_HEADING 2_"/>
    <w:basedOn w:val="7"/>
    <w:link w:val="14"/>
    <w:qFormat/>
    <w:uiPriority w:val="0"/>
    <w:rPr>
      <w:rFonts w:ascii="宋体" w:hAnsi="宋体" w:cs="宋体"/>
      <w:sz w:val="44"/>
      <w:szCs w:val="44"/>
      <w:shd w:val="clear" w:color="auto" w:fill="FFFFFF"/>
    </w:rPr>
  </w:style>
  <w:style w:type="paragraph" w:customStyle="1" w:styleId="14">
    <w:name w:val="MSG_EN_FONT_STYLE_NAME_TEMPLATE_ROLE_LEVEL MSG_EN_FONT_STYLE_NAME_BY_ROLE_HEADING 2"/>
    <w:basedOn w:val="1"/>
    <w:link w:val="13"/>
    <w:qFormat/>
    <w:uiPriority w:val="0"/>
    <w:pPr>
      <w:shd w:val="clear" w:color="auto" w:fill="FFFFFF"/>
      <w:spacing w:before="1060" w:after="600" w:line="595" w:lineRule="exact"/>
      <w:jc w:val="center"/>
      <w:outlineLvl w:val="1"/>
    </w:pPr>
    <w:rPr>
      <w:rFonts w:ascii="宋体" w:hAnsi="宋体" w:eastAsia="宋体" w:cs="宋体"/>
      <w:kern w:val="0"/>
      <w:sz w:val="44"/>
      <w:szCs w:val="44"/>
    </w:rPr>
  </w:style>
  <w:style w:type="character" w:customStyle="1" w:styleId="15">
    <w:name w:val="HTML 预设格式 Char"/>
    <w:basedOn w:val="7"/>
    <w:link w:val="4"/>
    <w:qFormat/>
    <w:uiPriority w:val="0"/>
    <w:rPr>
      <w:rFonts w:ascii="宋体" w:hAnsi="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2639</Words>
  <Characters>2679</Characters>
  <Lines>21</Lines>
  <Paragraphs>5</Paragraphs>
  <TotalTime>3</TotalTime>
  <ScaleCrop>false</ScaleCrop>
  <LinksUpToDate>false</LinksUpToDate>
  <CharactersWithSpaces>2680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2022-02-26T05:44:00Z</dcterms:created>
  <dc:creator>Administrator</dc:creator>
  <cp:lastModifiedBy>王乐芬</cp:lastModifiedBy>
  <cp:lastPrinted>2022-03-17T02:52:00Z</cp:lastPrinted>
  <dcterms:modified xsi:type="dcterms:W3CDTF">2022-03-28T03:00:50Z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B72333225D664E1E841C90434EDCB986</vt:lpwstr>
  </property>
</Properties>
</file>