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42" w:line="194" w:lineRule="auto"/>
        <w:ind w:left="3210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82220"/>
          <w:spacing w:val="-23"/>
          <w:sz w:val="33"/>
          <w:szCs w:val="33"/>
        </w:rPr>
        <w:t>东财农〔2021〕16</w:t>
      </w:r>
      <w:r>
        <w:rPr>
          <w:rFonts w:ascii="微软雅黑" w:hAnsi="微软雅黑" w:eastAsia="微软雅黑" w:cs="微软雅黑"/>
          <w:color w:val="182220"/>
          <w:spacing w:val="-23"/>
          <w:position w:val="2"/>
          <w:sz w:val="33"/>
          <w:szCs w:val="33"/>
        </w:rPr>
        <w:t>7</w:t>
      </w:r>
      <w:r>
        <w:rPr>
          <w:rFonts w:ascii="微软雅黑" w:hAnsi="微软雅黑" w:eastAsia="微软雅黑" w:cs="微软雅黑"/>
          <w:color w:val="182220"/>
          <w:spacing w:val="-23"/>
          <w:position w:val="1"/>
          <w:sz w:val="33"/>
          <w:szCs w:val="33"/>
        </w:rPr>
        <w:t>号</w:t>
      </w: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172" w:line="196" w:lineRule="auto"/>
        <w:ind w:left="1210" w:right="96" w:hanging="869"/>
        <w:rPr>
          <w:rFonts w:ascii="微软雅黑" w:hAnsi="微软雅黑" w:eastAsia="微软雅黑" w:cs="微软雅黑"/>
          <w:sz w:val="40"/>
          <w:szCs w:val="40"/>
        </w:rPr>
      </w:pPr>
      <w:r>
        <w:rPr>
          <w:rFonts w:ascii="微软雅黑" w:hAnsi="微软雅黑" w:eastAsia="微软雅黑" w:cs="微软雅黑"/>
          <w:color w:val="273734"/>
          <w:spacing w:val="3"/>
          <w:sz w:val="40"/>
          <w:szCs w:val="40"/>
        </w:rPr>
        <w:t>东至县财政局</w:t>
      </w:r>
      <w:r>
        <w:rPr>
          <w:rFonts w:hint="eastAsia" w:ascii="微软雅黑" w:hAnsi="微软雅黑" w:eastAsia="微软雅黑" w:cs="微软雅黑"/>
          <w:color w:val="273734"/>
          <w:spacing w:val="3"/>
          <w:sz w:val="40"/>
          <w:szCs w:val="40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color w:val="273734"/>
          <w:spacing w:val="3"/>
          <w:sz w:val="40"/>
          <w:szCs w:val="40"/>
        </w:rPr>
        <w:t>东至县乡村振兴局</w:t>
      </w:r>
      <w:r>
        <w:rPr>
          <w:rFonts w:hint="eastAsia" w:ascii="微软雅黑" w:hAnsi="微软雅黑" w:eastAsia="微软雅黑" w:cs="微软雅黑"/>
          <w:color w:val="273734"/>
          <w:spacing w:val="3"/>
          <w:sz w:val="40"/>
          <w:szCs w:val="40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color w:val="273734"/>
          <w:spacing w:val="3"/>
          <w:sz w:val="40"/>
          <w:szCs w:val="40"/>
        </w:rPr>
        <w:t>东至县发展改革</w:t>
      </w:r>
      <w:r>
        <w:rPr>
          <w:rFonts w:ascii="微软雅黑" w:hAnsi="微软雅黑" w:eastAsia="微软雅黑" w:cs="微软雅黑"/>
          <w:color w:val="273734"/>
          <w:spacing w:val="2"/>
          <w:sz w:val="40"/>
          <w:szCs w:val="40"/>
        </w:rPr>
        <w:t>委</w:t>
      </w:r>
      <w:r>
        <w:rPr>
          <w:rFonts w:ascii="微软雅黑" w:hAnsi="微软雅黑" w:eastAsia="微软雅黑" w:cs="微软雅黑"/>
          <w:color w:val="273734"/>
          <w:sz w:val="40"/>
          <w:szCs w:val="40"/>
        </w:rPr>
        <w:t xml:space="preserve"> </w:t>
      </w:r>
      <w:r>
        <w:rPr>
          <w:rFonts w:ascii="微软雅黑" w:hAnsi="微软雅黑" w:eastAsia="微软雅黑" w:cs="微软雅黑"/>
          <w:color w:val="273734"/>
          <w:spacing w:val="-3"/>
          <w:sz w:val="40"/>
          <w:szCs w:val="40"/>
        </w:rPr>
        <w:t>东至县民族宗教事务局</w:t>
      </w:r>
      <w:r>
        <w:rPr>
          <w:rFonts w:hint="eastAsia" w:ascii="微软雅黑" w:hAnsi="微软雅黑" w:eastAsia="微软雅黑" w:cs="微软雅黑"/>
          <w:color w:val="273734"/>
          <w:spacing w:val="-3"/>
          <w:sz w:val="40"/>
          <w:szCs w:val="40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color w:val="273734"/>
          <w:spacing w:val="-3"/>
          <w:sz w:val="40"/>
          <w:szCs w:val="40"/>
        </w:rPr>
        <w:t>东</w:t>
      </w:r>
      <w:r>
        <w:rPr>
          <w:rFonts w:ascii="微软雅黑" w:hAnsi="微软雅黑" w:eastAsia="微软雅黑" w:cs="微软雅黑"/>
          <w:color w:val="273734"/>
          <w:spacing w:val="-3"/>
          <w:position w:val="-1"/>
          <w:sz w:val="40"/>
          <w:szCs w:val="40"/>
        </w:rPr>
        <w:t>至</w:t>
      </w:r>
      <w:r>
        <w:rPr>
          <w:rFonts w:ascii="微软雅黑" w:hAnsi="微软雅黑" w:eastAsia="微软雅黑" w:cs="微软雅黑"/>
          <w:color w:val="273734"/>
          <w:spacing w:val="-3"/>
          <w:sz w:val="40"/>
          <w:szCs w:val="40"/>
        </w:rPr>
        <w:t>县农业农村局</w:t>
      </w:r>
    </w:p>
    <w:p>
      <w:pPr>
        <w:spacing w:before="70" w:line="202" w:lineRule="auto"/>
        <w:ind w:left="1314"/>
        <w:rPr>
          <w:rFonts w:ascii="微软雅黑" w:hAnsi="微软雅黑" w:eastAsia="微软雅黑" w:cs="微软雅黑"/>
          <w:sz w:val="38"/>
          <w:szCs w:val="38"/>
        </w:rPr>
      </w:pPr>
      <w:r>
        <w:rPr>
          <w:rFonts w:ascii="微软雅黑" w:hAnsi="微软雅黑" w:eastAsia="微软雅黑" w:cs="微软雅黑"/>
          <w:color w:val="273532"/>
          <w:spacing w:val="1"/>
          <w:sz w:val="38"/>
          <w:szCs w:val="38"/>
        </w:rPr>
        <w:t>东至</w:t>
      </w:r>
      <w:r>
        <w:rPr>
          <w:rFonts w:ascii="微软雅黑" w:hAnsi="微软雅黑" w:eastAsia="微软雅黑" w:cs="微软雅黑"/>
          <w:color w:val="273532"/>
          <w:spacing w:val="1"/>
          <w:position w:val="2"/>
          <w:sz w:val="38"/>
          <w:szCs w:val="38"/>
        </w:rPr>
        <w:t>县</w:t>
      </w:r>
      <w:r>
        <w:rPr>
          <w:rFonts w:ascii="微软雅黑" w:hAnsi="微软雅黑" w:eastAsia="微软雅黑" w:cs="微软雅黑"/>
          <w:color w:val="273532"/>
          <w:spacing w:val="1"/>
          <w:sz w:val="38"/>
          <w:szCs w:val="38"/>
        </w:rPr>
        <w:t>林业局</w:t>
      </w:r>
      <w:r>
        <w:rPr>
          <w:rFonts w:hint="eastAsia" w:ascii="微软雅黑" w:hAnsi="微软雅黑" w:eastAsia="微软雅黑" w:cs="微软雅黑"/>
          <w:color w:val="273532"/>
          <w:spacing w:val="1"/>
          <w:sz w:val="38"/>
          <w:szCs w:val="3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273532"/>
          <w:spacing w:val="1"/>
          <w:sz w:val="38"/>
          <w:szCs w:val="38"/>
          <w:lang w:eastAsia="zh-CN"/>
        </w:rPr>
        <w:t>关</w:t>
      </w:r>
      <w:r>
        <w:rPr>
          <w:rFonts w:ascii="微软雅黑" w:hAnsi="微软雅黑" w:eastAsia="微软雅黑" w:cs="微软雅黑"/>
          <w:color w:val="273532"/>
          <w:spacing w:val="1"/>
          <w:sz w:val="38"/>
          <w:szCs w:val="38"/>
        </w:rPr>
        <w:t>于印发</w:t>
      </w:r>
      <w:r>
        <w:rPr>
          <w:rFonts w:hint="eastAsia" w:ascii="微软雅黑" w:hAnsi="微软雅黑" w:eastAsia="微软雅黑" w:cs="微软雅黑"/>
          <w:color w:val="273532"/>
          <w:spacing w:val="1"/>
          <w:sz w:val="38"/>
          <w:szCs w:val="38"/>
          <w:lang w:eastAsia="zh-CN"/>
        </w:rPr>
        <w:t>《</w:t>
      </w:r>
      <w:r>
        <w:rPr>
          <w:rFonts w:ascii="微软雅黑" w:hAnsi="微软雅黑" w:eastAsia="微软雅黑" w:cs="微软雅黑"/>
          <w:color w:val="273532"/>
          <w:spacing w:val="1"/>
          <w:position w:val="2"/>
          <w:sz w:val="38"/>
          <w:szCs w:val="38"/>
        </w:rPr>
        <w:t>东</w:t>
      </w:r>
      <w:r>
        <w:rPr>
          <w:rFonts w:ascii="微软雅黑" w:hAnsi="微软雅黑" w:eastAsia="微软雅黑" w:cs="微软雅黑"/>
          <w:color w:val="273532"/>
          <w:spacing w:val="1"/>
          <w:sz w:val="38"/>
          <w:szCs w:val="38"/>
        </w:rPr>
        <w:t>至</w:t>
      </w:r>
      <w:r>
        <w:rPr>
          <w:rFonts w:ascii="微软雅黑" w:hAnsi="微软雅黑" w:eastAsia="微软雅黑" w:cs="微软雅黑"/>
          <w:color w:val="273532"/>
          <w:spacing w:val="1"/>
          <w:position w:val="1"/>
          <w:sz w:val="38"/>
          <w:szCs w:val="38"/>
        </w:rPr>
        <w:t>县</w:t>
      </w:r>
      <w:r>
        <w:rPr>
          <w:rFonts w:ascii="微软雅黑" w:hAnsi="微软雅黑" w:eastAsia="微软雅黑" w:cs="微软雅黑"/>
          <w:color w:val="273532"/>
          <w:spacing w:val="1"/>
          <w:sz w:val="38"/>
          <w:szCs w:val="38"/>
        </w:rPr>
        <w:t>财政衔接</w:t>
      </w:r>
    </w:p>
    <w:p>
      <w:pPr>
        <w:spacing w:line="219" w:lineRule="auto"/>
        <w:ind w:left="2066"/>
        <w:rPr>
          <w:rFonts w:ascii="微软雅黑" w:hAnsi="微软雅黑" w:eastAsia="微软雅黑" w:cs="微软雅黑"/>
          <w:sz w:val="25"/>
          <w:szCs w:val="25"/>
        </w:rPr>
      </w:pPr>
      <w:r>
        <w:rPr>
          <w:rFonts w:ascii="微软雅黑" w:hAnsi="微软雅黑" w:eastAsia="微软雅黑" w:cs="微软雅黑"/>
          <w:color w:val="22312C"/>
          <w:spacing w:val="-3"/>
          <w:sz w:val="39"/>
          <w:szCs w:val="39"/>
        </w:rPr>
        <w:t>推进</w:t>
      </w:r>
      <w:r>
        <w:rPr>
          <w:rFonts w:ascii="微软雅黑" w:hAnsi="微软雅黑" w:eastAsia="微软雅黑" w:cs="微软雅黑"/>
          <w:color w:val="604E52"/>
          <w:spacing w:val="-3"/>
          <w:sz w:val="39"/>
          <w:szCs w:val="39"/>
        </w:rPr>
        <w:t>乡村</w:t>
      </w:r>
      <w:r>
        <w:rPr>
          <w:rFonts w:ascii="微软雅黑" w:hAnsi="微软雅黑" w:eastAsia="微软雅黑" w:cs="微软雅黑"/>
          <w:color w:val="22312C"/>
          <w:spacing w:val="-3"/>
          <w:sz w:val="39"/>
          <w:szCs w:val="39"/>
        </w:rPr>
        <w:t>振</w:t>
      </w:r>
      <w:r>
        <w:rPr>
          <w:rFonts w:ascii="微软雅黑" w:hAnsi="微软雅黑" w:eastAsia="微软雅黑" w:cs="微软雅黑"/>
          <w:color w:val="3C3131"/>
          <w:spacing w:val="-3"/>
          <w:sz w:val="39"/>
          <w:szCs w:val="39"/>
        </w:rPr>
        <w:t>兴</w:t>
      </w:r>
      <w:r>
        <w:rPr>
          <w:rFonts w:ascii="微软雅黑" w:hAnsi="微软雅黑" w:eastAsia="微软雅黑" w:cs="微软雅黑"/>
          <w:color w:val="22312C"/>
          <w:spacing w:val="-3"/>
          <w:sz w:val="39"/>
          <w:szCs w:val="39"/>
        </w:rPr>
        <w:t>补助资金管理</w:t>
      </w:r>
    </w:p>
    <w:p>
      <w:pPr>
        <w:spacing w:before="2" w:line="178" w:lineRule="auto"/>
        <w:ind w:left="3242"/>
        <w:rPr>
          <w:rFonts w:ascii="微软雅黑" w:hAnsi="微软雅黑" w:eastAsia="微软雅黑" w:cs="微软雅黑"/>
          <w:sz w:val="39"/>
          <w:szCs w:val="39"/>
        </w:rPr>
      </w:pPr>
      <w:r>
        <w:rPr>
          <w:rFonts w:ascii="微软雅黑" w:hAnsi="微软雅黑" w:eastAsia="微软雅黑" w:cs="微软雅黑"/>
          <w:color w:val="243430"/>
          <w:spacing w:val="-6"/>
          <w:sz w:val="39"/>
          <w:szCs w:val="39"/>
        </w:rPr>
        <w:t>实施细则</w:t>
      </w:r>
      <w:r>
        <w:rPr>
          <w:rFonts w:hint="eastAsia" w:ascii="微软雅黑" w:hAnsi="微软雅黑" w:eastAsia="微软雅黑" w:cs="微软雅黑"/>
          <w:color w:val="273532"/>
          <w:spacing w:val="1"/>
          <w:sz w:val="38"/>
          <w:szCs w:val="38"/>
          <w:lang w:eastAsia="zh-CN"/>
        </w:rPr>
        <w:t>》</w:t>
      </w:r>
      <w:r>
        <w:rPr>
          <w:rFonts w:ascii="微软雅黑" w:hAnsi="微软雅黑" w:eastAsia="微软雅黑" w:cs="微软雅黑"/>
          <w:color w:val="243430"/>
          <w:spacing w:val="-6"/>
          <w:sz w:val="39"/>
          <w:szCs w:val="39"/>
        </w:rPr>
        <w:t>的通知</w:t>
      </w: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before="141" w:line="181" w:lineRule="auto"/>
        <w:ind w:left="299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E2624"/>
          <w:spacing w:val="-36"/>
          <w:sz w:val="33"/>
          <w:szCs w:val="33"/>
        </w:rPr>
        <w:t>各乡、镇人民政府，县直有关单位：</w:t>
      </w:r>
    </w:p>
    <w:p>
      <w:pPr>
        <w:spacing w:before="117" w:line="227" w:lineRule="auto"/>
        <w:ind w:left="303" w:firstLine="648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D2726"/>
          <w:spacing w:val="-10"/>
          <w:sz w:val="33"/>
          <w:szCs w:val="33"/>
        </w:rPr>
        <w:t>根据中央、省、市巩固拓展脱贫攻坚成果同乡村振兴有效衔</w:t>
      </w:r>
      <w:r>
        <w:rPr>
          <w:rFonts w:ascii="微软雅黑" w:hAnsi="微软雅黑" w:eastAsia="微软雅黑" w:cs="微软雅黑"/>
          <w:color w:val="1D2726"/>
          <w:spacing w:val="7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10"/>
          <w:sz w:val="33"/>
          <w:szCs w:val="33"/>
        </w:rPr>
        <w:t>接决策部署</w:t>
      </w:r>
      <w:r>
        <w:rPr>
          <w:rFonts w:hint="eastAsia" w:ascii="微软雅黑" w:hAnsi="微软雅黑" w:eastAsia="微软雅黑" w:cs="微软雅黑"/>
          <w:color w:val="1D2726"/>
          <w:spacing w:val="-10"/>
          <w:sz w:val="33"/>
          <w:szCs w:val="33"/>
          <w:lang w:eastAsia="zh-CN"/>
        </w:rPr>
        <w:t>，</w:t>
      </w:r>
      <w:r>
        <w:rPr>
          <w:rFonts w:ascii="微软雅黑" w:hAnsi="微软雅黑" w:eastAsia="微软雅黑" w:cs="微软雅黑"/>
          <w:color w:val="1D2726"/>
          <w:spacing w:val="-10"/>
          <w:sz w:val="33"/>
          <w:szCs w:val="33"/>
        </w:rPr>
        <w:t>按照省财政厅等</w:t>
      </w:r>
      <w:r>
        <w:rPr>
          <w:rFonts w:ascii="微软雅黑" w:hAnsi="微软雅黑" w:eastAsia="微软雅黑" w:cs="微软雅黑"/>
          <w:color w:val="1D2726"/>
          <w:spacing w:val="6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10"/>
          <w:position w:val="2"/>
          <w:sz w:val="33"/>
          <w:szCs w:val="33"/>
        </w:rPr>
        <w:t>6</w:t>
      </w:r>
      <w:r>
        <w:rPr>
          <w:rFonts w:ascii="微软雅黑" w:hAnsi="微软雅黑" w:eastAsia="微软雅黑" w:cs="微软雅黑"/>
          <w:color w:val="1D2726"/>
          <w:spacing w:val="4"/>
          <w:position w:val="2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10"/>
          <w:sz w:val="33"/>
          <w:szCs w:val="33"/>
        </w:rPr>
        <w:t>部门关于印发《安徽省财政衔</w:t>
      </w:r>
      <w:r>
        <w:rPr>
          <w:rFonts w:ascii="微软雅黑" w:hAnsi="微软雅黑" w:eastAsia="微软雅黑" w:cs="微软雅黑"/>
          <w:color w:val="1D2726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24"/>
          <w:position w:val="-1"/>
          <w:sz w:val="33"/>
          <w:szCs w:val="33"/>
        </w:rPr>
        <w:t>接推进乡村振兴补助资金管理办法的通知》</w:t>
      </w:r>
      <w:r>
        <w:rPr>
          <w:rFonts w:ascii="微软雅黑" w:hAnsi="微软雅黑" w:eastAsia="微软雅黑" w:cs="微软雅黑"/>
          <w:color w:val="1D2726"/>
          <w:spacing w:val="-24"/>
          <w:sz w:val="33"/>
          <w:szCs w:val="33"/>
        </w:rPr>
        <w:t>（皖财</w:t>
      </w:r>
      <w:r>
        <w:rPr>
          <w:rFonts w:ascii="微软雅黑" w:hAnsi="微软雅黑" w:eastAsia="微软雅黑" w:cs="微软雅黑"/>
          <w:color w:val="1D2726"/>
          <w:spacing w:val="-52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24"/>
          <w:position w:val="2"/>
          <w:sz w:val="33"/>
          <w:szCs w:val="33"/>
        </w:rPr>
        <w:t>农〔2021〕45</w:t>
      </w:r>
      <w:r>
        <w:rPr>
          <w:rFonts w:ascii="微软雅黑" w:hAnsi="微软雅黑" w:eastAsia="微软雅黑" w:cs="微软雅黑"/>
          <w:color w:val="1D2726"/>
          <w:spacing w:val="-53"/>
          <w:position w:val="2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24"/>
          <w:position w:val="2"/>
          <w:sz w:val="33"/>
          <w:szCs w:val="33"/>
        </w:rPr>
        <w:t>0</w:t>
      </w:r>
      <w:r>
        <w:rPr>
          <w:rFonts w:ascii="微软雅黑" w:hAnsi="微软雅黑" w:eastAsia="微软雅黑" w:cs="微软雅黑"/>
          <w:color w:val="1D2726"/>
          <w:position w:val="2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6"/>
          <w:position w:val="2"/>
          <w:sz w:val="33"/>
          <w:szCs w:val="33"/>
        </w:rPr>
        <w:t>号</w:t>
      </w:r>
      <w:r>
        <w:rPr>
          <w:rFonts w:ascii="微软雅黑" w:hAnsi="微软雅黑" w:eastAsia="微软雅黑" w:cs="微软雅黑"/>
          <w:color w:val="1D2726"/>
          <w:spacing w:val="-6"/>
          <w:position w:val="1"/>
          <w:sz w:val="33"/>
          <w:szCs w:val="33"/>
        </w:rPr>
        <w:t>）</w:t>
      </w:r>
      <w:r>
        <w:rPr>
          <w:rFonts w:ascii="微软雅黑" w:hAnsi="微软雅黑" w:eastAsia="微软雅黑" w:cs="微软雅黑"/>
          <w:color w:val="1D2726"/>
          <w:spacing w:val="-6"/>
          <w:sz w:val="33"/>
          <w:szCs w:val="33"/>
        </w:rPr>
        <w:t>、池州市财政局等5部门关于印发《池州市市级财政衔接推</w:t>
      </w:r>
      <w:r>
        <w:rPr>
          <w:rFonts w:ascii="微软雅黑" w:hAnsi="微软雅黑" w:eastAsia="微软雅黑" w:cs="微软雅黑"/>
          <w:color w:val="1D2726"/>
          <w:spacing w:val="-14"/>
          <w:sz w:val="33"/>
          <w:szCs w:val="33"/>
        </w:rPr>
        <w:t>进乡村振兴补助资金管理实施细则》（池财</w:t>
      </w:r>
      <w:r>
        <w:rPr>
          <w:rFonts w:ascii="微软雅黑" w:hAnsi="微软雅黑" w:eastAsia="微软雅黑" w:cs="微软雅黑"/>
          <w:color w:val="1D2726"/>
          <w:spacing w:val="-14"/>
          <w:position w:val="1"/>
          <w:sz w:val="33"/>
          <w:szCs w:val="33"/>
        </w:rPr>
        <w:t>农〔2021〕</w:t>
      </w:r>
      <w:r>
        <w:rPr>
          <w:rFonts w:ascii="微软雅黑" w:hAnsi="微软雅黑" w:eastAsia="微软雅黑" w:cs="微软雅黑"/>
          <w:color w:val="1D2726"/>
          <w:spacing w:val="-14"/>
          <w:position w:val="2"/>
          <w:sz w:val="33"/>
          <w:szCs w:val="33"/>
        </w:rPr>
        <w:t>220号</w:t>
      </w:r>
      <w:r>
        <w:rPr>
          <w:rFonts w:ascii="微软雅黑" w:hAnsi="微软雅黑" w:eastAsia="微软雅黑" w:cs="微软雅黑"/>
          <w:color w:val="1D2726"/>
          <w:spacing w:val="-14"/>
          <w:position w:val="1"/>
          <w:sz w:val="33"/>
          <w:szCs w:val="33"/>
        </w:rPr>
        <w:t>）</w:t>
      </w:r>
      <w:r>
        <w:rPr>
          <w:rFonts w:ascii="微软雅黑" w:hAnsi="微软雅黑" w:eastAsia="微软雅黑" w:cs="微软雅黑"/>
          <w:color w:val="1D2726"/>
          <w:position w:val="1"/>
          <w:sz w:val="33"/>
          <w:szCs w:val="33"/>
        </w:rPr>
        <w:t xml:space="preserve"> </w:t>
      </w:r>
      <w:r>
        <w:rPr>
          <w:rFonts w:ascii="微软雅黑" w:hAnsi="微软雅黑" w:eastAsia="微软雅黑" w:cs="微软雅黑"/>
          <w:color w:val="1D2726"/>
          <w:spacing w:val="-9"/>
          <w:sz w:val="33"/>
          <w:szCs w:val="33"/>
        </w:rPr>
        <w:t>等有关精神</w:t>
      </w:r>
      <w:r>
        <w:rPr>
          <w:rFonts w:hint="eastAsia" w:ascii="微软雅黑" w:hAnsi="微软雅黑" w:eastAsia="微软雅黑" w:cs="微软雅黑"/>
          <w:color w:val="1D2726"/>
          <w:spacing w:val="-9"/>
          <w:sz w:val="33"/>
          <w:szCs w:val="33"/>
          <w:lang w:eastAsia="zh-CN"/>
        </w:rPr>
        <w:t>，</w:t>
      </w:r>
      <w:r>
        <w:rPr>
          <w:rFonts w:ascii="微软雅黑" w:hAnsi="微软雅黑" w:eastAsia="微软雅黑" w:cs="微软雅黑"/>
          <w:color w:val="1D2726"/>
          <w:spacing w:val="-9"/>
          <w:sz w:val="33"/>
          <w:szCs w:val="33"/>
        </w:rPr>
        <w:t>原财政专项扶贫资金更名为财政衔接推进乡村振兴</w:t>
      </w:r>
    </w:p>
    <w:p>
      <w:pPr>
        <w:spacing w:line="180" w:lineRule="auto"/>
        <w:ind w:left="320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D2726"/>
          <w:spacing w:val="-10"/>
          <w:sz w:val="33"/>
          <w:szCs w:val="33"/>
        </w:rPr>
        <w:t>补助资金，用于支持巩固拓展脱贫攻坚成果同乡村振兴有效衔接</w:t>
      </w:r>
    </w:p>
    <w:p>
      <w:pPr>
        <w:sectPr>
          <w:pgSz w:w="12359" w:h="17005"/>
          <w:pgMar w:top="1445" w:right="1200" w:bottom="0" w:left="1853" w:header="0" w:footer="0" w:gutter="0"/>
          <w:cols w:space="720" w:num="1"/>
        </w:sectPr>
      </w:pPr>
    </w:p>
    <w:p>
      <w:pPr>
        <w:spacing w:before="226" w:line="189" w:lineRule="auto"/>
        <w:ind w:left="263"/>
        <w:rPr>
          <w:rFonts w:ascii="微软雅黑" w:hAnsi="微软雅黑" w:eastAsia="微软雅黑" w:cs="微软雅黑"/>
          <w:sz w:val="32"/>
          <w:szCs w:val="32"/>
        </w:rPr>
      </w:pPr>
      <w:r>
        <w:pict>
          <v:shape id="_x0000_s1026" o:spid="_x0000_s1026" style="position:absolute;left:0pt;margin-left:101pt;margin-top:741.6pt;height:0.65pt;width:468.85pt;mso-position-horizontal-relative:page;mso-position-vertical-relative:page;z-index:251659264;mso-width-relative:page;mso-height-relative:page;" filled="f" stroked="t" coordsize="9377,12" o:allowincell="f" path="m0,6l9376,6e">
            <v:fill on="f" focussize="0,0"/>
            <v:stroke weight="0.63pt" color="#182824" miterlimit="10" joinstyle="miter"/>
            <v:imagedata o:title=""/>
            <o:lock v:ext="edit"/>
          </v:shape>
        </w:pict>
      </w:r>
      <w:r>
        <w:rPr>
          <w:rFonts w:ascii="微软雅黑" w:hAnsi="微软雅黑" w:eastAsia="微软雅黑" w:cs="微软雅黑"/>
          <w:color w:val="1F2323"/>
          <w:spacing w:val="-18"/>
          <w:sz w:val="32"/>
          <w:szCs w:val="32"/>
        </w:rPr>
        <w:t>工作。</w:t>
      </w:r>
    </w:p>
    <w:p>
      <w:pPr>
        <w:spacing w:before="116"/>
        <w:ind w:left="284" w:right="338" w:firstLine="639"/>
        <w:jc w:val="both"/>
        <w:rPr>
          <w:rFonts w:ascii="微软雅黑" w:hAnsi="微软雅黑" w:eastAsia="微软雅黑" w:cs="微软雅黑"/>
          <w:sz w:val="32"/>
          <w:szCs w:val="32"/>
        </w:rPr>
      </w:pPr>
      <w:r>
        <w:rPr>
          <w:rFonts w:ascii="微软雅黑" w:hAnsi="微软雅黑" w:eastAsia="微软雅黑" w:cs="微软雅黑"/>
          <w:color w:val="232E2C"/>
          <w:spacing w:val="-11"/>
          <w:sz w:val="32"/>
          <w:szCs w:val="32"/>
        </w:rPr>
        <w:t>为加强资金使用管理，提高资金使用效益，我们制定了《东</w:t>
      </w:r>
      <w:bookmarkStart w:id="0" w:name="_GoBack"/>
      <w:bookmarkEnd w:id="0"/>
      <w:r>
        <w:rPr>
          <w:rFonts w:ascii="微软雅黑" w:hAnsi="微软雅黑" w:eastAsia="微软雅黑" w:cs="微软雅黑"/>
          <w:color w:val="232E2C"/>
          <w:spacing w:val="-11"/>
          <w:sz w:val="32"/>
          <w:szCs w:val="32"/>
        </w:rPr>
        <w:t>至县财政衔接推进乡村振兴补助资金管理实施细则》，现印发你</w:t>
      </w:r>
    </w:p>
    <w:p>
      <w:pPr>
        <w:spacing w:line="185" w:lineRule="auto"/>
        <w:ind w:left="259"/>
        <w:rPr>
          <w:rFonts w:ascii="微软雅黑" w:hAnsi="微软雅黑" w:eastAsia="微软雅黑" w:cs="微软雅黑"/>
          <w:sz w:val="32"/>
          <w:szCs w:val="32"/>
        </w:rPr>
      </w:pPr>
      <w:r>
        <w:rPr>
          <w:rFonts w:ascii="微软雅黑" w:hAnsi="微软雅黑" w:eastAsia="微软雅黑" w:cs="微软雅黑"/>
          <w:color w:val="232E2C"/>
          <w:spacing w:val="-22"/>
          <w:sz w:val="32"/>
          <w:szCs w:val="32"/>
        </w:rPr>
        <w:t>们，</w:t>
      </w:r>
      <w:r>
        <w:rPr>
          <w:rFonts w:ascii="微软雅黑" w:hAnsi="微软雅黑" w:eastAsia="微软雅黑" w:cs="微软雅黑"/>
          <w:color w:val="232E2C"/>
          <w:spacing w:val="41"/>
          <w:sz w:val="32"/>
          <w:szCs w:val="32"/>
        </w:rPr>
        <w:t xml:space="preserve"> </w:t>
      </w:r>
      <w:r>
        <w:rPr>
          <w:rFonts w:ascii="微软雅黑" w:hAnsi="微软雅黑" w:eastAsia="微软雅黑" w:cs="微软雅黑"/>
          <w:color w:val="232E2C"/>
          <w:spacing w:val="-22"/>
          <w:sz w:val="32"/>
          <w:szCs w:val="32"/>
        </w:rPr>
        <w:t>请遵照执行。</w:t>
      </w:r>
    </w:p>
    <w:p>
      <w:pPr>
        <w:spacing w:line="246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before="104" w:line="210" w:lineRule="auto"/>
        <w:ind w:left="618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color w:val="232E2C"/>
          <w:spacing w:val="-8"/>
          <w:sz w:val="32"/>
          <w:szCs w:val="32"/>
        </w:rPr>
        <w:t>2021年8月27日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spacing w:line="50" w:lineRule="exact"/>
      </w:pPr>
    </w:p>
    <w:p>
      <w:pPr>
        <w:sectPr>
          <w:footerReference r:id="rId5" w:type="default"/>
          <w:pgSz w:w="12359" w:h="17005"/>
          <w:pgMar w:top="1445" w:right="961" w:bottom="743" w:left="1853" w:header="0" w:footer="573" w:gutter="0"/>
          <w:cols w:equalWidth="0" w:num="1">
            <w:col w:w="9544"/>
          </w:cols>
        </w:sectPr>
      </w:pPr>
    </w:p>
    <w:p>
      <w:pPr>
        <w:spacing w:before="71" w:line="631" w:lineRule="exact"/>
        <w:ind w:left="54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color w:val="242D2D"/>
          <w:spacing w:val="-26"/>
          <w:position w:val="25"/>
          <w:sz w:val="28"/>
          <w:szCs w:val="28"/>
        </w:rPr>
        <w:t>抄送：</w:t>
      </w:r>
      <w:r>
        <w:rPr>
          <w:rFonts w:ascii="微软雅黑" w:hAnsi="微软雅黑" w:eastAsia="微软雅黑" w:cs="微软雅黑"/>
          <w:color w:val="242D2D"/>
          <w:spacing w:val="86"/>
          <w:position w:val="25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42D2D"/>
          <w:spacing w:val="-26"/>
          <w:position w:val="25"/>
          <w:sz w:val="28"/>
          <w:szCs w:val="28"/>
        </w:rPr>
        <w:t>县水利局、</w:t>
      </w:r>
      <w:r>
        <w:rPr>
          <w:rFonts w:ascii="微软雅黑" w:hAnsi="微软雅黑" w:eastAsia="微软雅黑" w:cs="微软雅黑"/>
          <w:color w:val="242D2D"/>
          <w:spacing w:val="23"/>
          <w:position w:val="25"/>
          <w:sz w:val="28"/>
          <w:szCs w:val="28"/>
        </w:rPr>
        <w:t xml:space="preserve">  </w:t>
      </w:r>
      <w:r>
        <w:rPr>
          <w:rFonts w:ascii="微软雅黑" w:hAnsi="微软雅黑" w:eastAsia="微软雅黑" w:cs="微软雅黑"/>
          <w:color w:val="242D2D"/>
          <w:spacing w:val="-26"/>
          <w:position w:val="25"/>
          <w:sz w:val="28"/>
          <w:szCs w:val="28"/>
        </w:rPr>
        <w:t>县教育体育局。</w:t>
      </w:r>
    </w:p>
    <w:p>
      <w:pPr>
        <w:spacing w:line="313" w:lineRule="exact"/>
        <w:ind w:left="552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color w:val="242D2D"/>
          <w:spacing w:val="-3"/>
          <w:sz w:val="28"/>
          <w:szCs w:val="28"/>
        </w:rPr>
        <w:t>东至县财政局办公室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before="120" w:line="168" w:lineRule="auto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color w:val="222E2D"/>
          <w:spacing w:val="-29"/>
          <w:w w:val="95"/>
          <w:position w:val="1"/>
          <w:sz w:val="28"/>
          <w:szCs w:val="28"/>
        </w:rPr>
        <w:t>2021</w:t>
      </w:r>
      <w:r>
        <w:rPr>
          <w:rFonts w:ascii="微软雅黑" w:hAnsi="微软雅黑" w:eastAsia="微软雅黑" w:cs="微软雅黑"/>
          <w:color w:val="222E2D"/>
          <w:spacing w:val="50"/>
          <w:position w:val="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22E2D"/>
          <w:spacing w:val="-29"/>
          <w:w w:val="95"/>
          <w:position w:val="1"/>
          <w:sz w:val="28"/>
          <w:szCs w:val="28"/>
        </w:rPr>
        <w:t>年</w:t>
      </w:r>
      <w:r>
        <w:rPr>
          <w:rFonts w:ascii="微软雅黑" w:hAnsi="微软雅黑" w:eastAsia="微软雅黑" w:cs="微软雅黑"/>
          <w:color w:val="222E2D"/>
          <w:spacing w:val="23"/>
          <w:position w:val="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22E2D"/>
          <w:spacing w:val="-29"/>
          <w:w w:val="95"/>
          <w:position w:val="1"/>
          <w:sz w:val="28"/>
          <w:szCs w:val="28"/>
        </w:rPr>
        <w:t>8</w:t>
      </w:r>
      <w:r>
        <w:rPr>
          <w:rFonts w:ascii="微软雅黑" w:hAnsi="微软雅黑" w:eastAsia="微软雅黑" w:cs="微软雅黑"/>
          <w:color w:val="222E2D"/>
          <w:spacing w:val="42"/>
          <w:position w:val="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22E2D"/>
          <w:spacing w:val="-29"/>
          <w:w w:val="95"/>
          <w:position w:val="1"/>
          <w:sz w:val="28"/>
          <w:szCs w:val="28"/>
        </w:rPr>
        <w:t>月</w:t>
      </w:r>
      <w:r>
        <w:rPr>
          <w:rFonts w:ascii="微软雅黑" w:hAnsi="微软雅黑" w:eastAsia="微软雅黑" w:cs="微软雅黑"/>
          <w:color w:val="222E2D"/>
          <w:spacing w:val="74"/>
          <w:position w:val="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22E2D"/>
          <w:spacing w:val="-29"/>
          <w:w w:val="95"/>
          <w:sz w:val="28"/>
          <w:szCs w:val="28"/>
        </w:rPr>
        <w:t>27</w:t>
      </w:r>
      <w:r>
        <w:rPr>
          <w:rFonts w:ascii="微软雅黑" w:hAnsi="微软雅黑" w:eastAsia="微软雅黑" w:cs="微软雅黑"/>
          <w:color w:val="222E2D"/>
          <w:spacing w:val="75"/>
          <w:w w:val="10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color w:val="222E2D"/>
          <w:spacing w:val="-29"/>
          <w:w w:val="95"/>
          <w:position w:val="-1"/>
          <w:sz w:val="28"/>
          <w:szCs w:val="28"/>
        </w:rPr>
        <w:t>日印发</w:t>
      </w:r>
    </w:p>
    <w:p>
      <w:pPr>
        <w:sectPr>
          <w:type w:val="continuous"/>
          <w:pgSz w:w="12359" w:h="17005"/>
          <w:pgMar w:top="1445" w:right="961" w:bottom="743" w:left="1853" w:header="0" w:footer="573" w:gutter="0"/>
          <w:cols w:equalWidth="0" w:num="2">
            <w:col w:w="6276" w:space="100"/>
            <w:col w:w="3168"/>
          </w:cols>
        </w:sectPr>
      </w:pPr>
    </w:p>
    <w:p>
      <w:pPr>
        <w:spacing w:line="358" w:lineRule="auto"/>
        <w:rPr>
          <w:rFonts w:ascii="Arial"/>
          <w:sz w:val="21"/>
        </w:rPr>
      </w:pPr>
    </w:p>
    <w:p>
      <w:pPr>
        <w:spacing w:line="358" w:lineRule="auto"/>
        <w:rPr>
          <w:rFonts w:ascii="Arial"/>
          <w:sz w:val="21"/>
        </w:rPr>
      </w:pPr>
    </w:p>
    <w:p>
      <w:pPr>
        <w:spacing w:before="133" w:line="562" w:lineRule="exact"/>
        <w:ind w:left="2121"/>
        <w:rPr>
          <w:rFonts w:ascii="宋体" w:hAnsi="宋体" w:eastAsia="宋体" w:cs="宋体"/>
          <w:sz w:val="41"/>
          <w:szCs w:val="41"/>
        </w:rPr>
      </w:pPr>
      <w:r>
        <w:rPr>
          <w:rFonts w:ascii="宋体" w:hAnsi="宋体" w:eastAsia="宋体" w:cs="宋体"/>
          <w:b/>
          <w:bCs/>
          <w:spacing w:val="-10"/>
          <w:position w:val="10"/>
          <w:sz w:val="41"/>
          <w:szCs w:val="41"/>
        </w:rPr>
        <w:t>东至县财政衔接推进乡村振兴</w:t>
      </w:r>
    </w:p>
    <w:p>
      <w:pPr>
        <w:spacing w:line="219" w:lineRule="auto"/>
        <w:ind w:left="2691"/>
        <w:rPr>
          <w:rFonts w:ascii="宋体" w:hAnsi="宋体" w:eastAsia="宋体" w:cs="宋体"/>
          <w:sz w:val="41"/>
          <w:szCs w:val="41"/>
        </w:rPr>
      </w:pPr>
      <w:r>
        <w:rPr>
          <w:rFonts w:ascii="宋体" w:hAnsi="宋体" w:eastAsia="宋体" w:cs="宋体"/>
          <w:b/>
          <w:bCs/>
          <w:spacing w:val="-4"/>
          <w:sz w:val="41"/>
          <w:szCs w:val="41"/>
        </w:rPr>
        <w:t>补助资金管理实施细则</w:t>
      </w:r>
    </w:p>
    <w:p>
      <w:pPr>
        <w:spacing w:line="263" w:lineRule="auto"/>
        <w:rPr>
          <w:rFonts w:ascii="Arial"/>
          <w:sz w:val="21"/>
        </w:rPr>
      </w:pPr>
    </w:p>
    <w:p>
      <w:pPr>
        <w:spacing w:before="104" w:line="222" w:lineRule="auto"/>
        <w:ind w:left="376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4"/>
          <w:sz w:val="32"/>
          <w:szCs w:val="32"/>
        </w:rPr>
        <w:t>第一章</w:t>
      </w:r>
      <w:r>
        <w:rPr>
          <w:rFonts w:ascii="黑体" w:hAnsi="黑体" w:eastAsia="黑体" w:cs="黑体"/>
          <w:spacing w:val="12"/>
          <w:sz w:val="32"/>
          <w:szCs w:val="32"/>
        </w:rPr>
        <w:t xml:space="preserve">  </w:t>
      </w:r>
      <w:r>
        <w:rPr>
          <w:rFonts w:ascii="黑体" w:hAnsi="黑体" w:eastAsia="黑体" w:cs="黑体"/>
          <w:b/>
          <w:bCs/>
          <w:spacing w:val="-4"/>
          <w:sz w:val="32"/>
          <w:szCs w:val="32"/>
        </w:rPr>
        <w:t>总则</w:t>
      </w:r>
    </w:p>
    <w:p>
      <w:pPr>
        <w:spacing w:before="178" w:line="323" w:lineRule="auto"/>
        <w:ind w:left="206" w:firstLine="67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第</w:t>
      </w:r>
      <w:r>
        <w:rPr>
          <w:rFonts w:ascii="仿宋" w:hAnsi="仿宋" w:eastAsia="仿宋" w:cs="仿宋"/>
          <w:spacing w:val="-85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一</w:t>
      </w:r>
      <w:r>
        <w:rPr>
          <w:rFonts w:ascii="仿宋" w:hAnsi="仿宋" w:eastAsia="仿宋" w:cs="仿宋"/>
          <w:spacing w:val="-96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条</w:t>
      </w:r>
      <w:r>
        <w:rPr>
          <w:rFonts w:ascii="仿宋" w:hAnsi="仿宋" w:eastAsia="仿宋" w:cs="仿宋"/>
          <w:spacing w:val="-3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为贯彻落实中央、省、市和县委、县政府关于巩固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拓展脱贫攻坚成果同乡村振兴有效衔接的决策部署，加强过</w:t>
      </w:r>
      <w:r>
        <w:rPr>
          <w:rFonts w:ascii="仿宋" w:hAnsi="仿宋" w:eastAsia="仿宋" w:cs="仿宋"/>
          <w:sz w:val="32"/>
          <w:szCs w:val="32"/>
        </w:rPr>
        <w:t xml:space="preserve">渡期 </w:t>
      </w:r>
      <w:r>
        <w:rPr>
          <w:rFonts w:ascii="仿宋" w:hAnsi="仿宋" w:eastAsia="仿宋" w:cs="仿宋"/>
          <w:spacing w:val="14"/>
          <w:sz w:val="32"/>
          <w:szCs w:val="32"/>
        </w:rPr>
        <w:t>内财政衔接推进乡村振兴补助资金(以下简称衔接资金)管理，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0"/>
          <w:sz w:val="32"/>
          <w:szCs w:val="32"/>
        </w:rPr>
        <w:t>根据《中华人民共和国预算法》、《中华人民共和国预算法实施条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1"/>
          <w:sz w:val="32"/>
          <w:szCs w:val="32"/>
        </w:rPr>
        <w:t>例》、《安徽省财政衔接推进乡村振兴补助资金管理办法》、《池</w:t>
      </w:r>
      <w:r>
        <w:rPr>
          <w:rFonts w:ascii="仿宋" w:hAnsi="仿宋" w:eastAsia="仿宋" w:cs="仿宋"/>
          <w:spacing w:val="-22"/>
          <w:sz w:val="32"/>
          <w:szCs w:val="32"/>
        </w:rPr>
        <w:t>州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市市级财政衔接推进乡村振兴补助资金管理实施细则》等有</w:t>
      </w:r>
      <w:r>
        <w:rPr>
          <w:rFonts w:ascii="仿宋" w:hAnsi="仿宋" w:eastAsia="仿宋" w:cs="仿宋"/>
          <w:spacing w:val="-2"/>
          <w:sz w:val="32"/>
          <w:szCs w:val="32"/>
        </w:rPr>
        <w:t>关规</w:t>
      </w:r>
    </w:p>
    <w:p>
      <w:pPr>
        <w:spacing w:before="1" w:line="221" w:lineRule="auto"/>
        <w:ind w:left="20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定，制定本细则。</w:t>
      </w:r>
    </w:p>
    <w:p>
      <w:pPr>
        <w:spacing w:before="171" w:line="323" w:lineRule="auto"/>
        <w:ind w:left="206" w:right="37" w:firstLine="67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6"/>
          <w:sz w:val="32"/>
          <w:szCs w:val="32"/>
        </w:rPr>
        <w:t>第二条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本细则所指衔接资金是中央、省、市财政通过转移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1"/>
          <w:sz w:val="32"/>
          <w:szCs w:val="32"/>
        </w:rPr>
        <w:t>支付补助我县和县财政通过一般公共预算安排的用于巩固拓展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脱贫攻坚成果同乡村振兴有效衔接的资金。中央、省、市财政通</w:t>
      </w:r>
    </w:p>
    <w:p>
      <w:pPr>
        <w:spacing w:before="1" w:line="218" w:lineRule="auto"/>
        <w:ind w:left="20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过转移支付补助我县衔接资金有明确规定的，从其规定。</w:t>
      </w:r>
    </w:p>
    <w:p>
      <w:pPr>
        <w:spacing w:before="182" w:line="323" w:lineRule="auto"/>
        <w:ind w:left="206" w:right="65" w:firstLine="67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6"/>
          <w:sz w:val="32"/>
          <w:szCs w:val="32"/>
        </w:rPr>
        <w:t>第三条</w:t>
      </w:r>
      <w:r>
        <w:rPr>
          <w:rFonts w:ascii="仿宋" w:hAnsi="仿宋" w:eastAsia="仿宋" w:cs="仿宋"/>
          <w:spacing w:val="-2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县财政部门根据巩固拓展脱贫攻坚成果同乡村振</w:t>
      </w:r>
      <w:r>
        <w:rPr>
          <w:rFonts w:ascii="仿宋" w:hAnsi="仿宋" w:eastAsia="仿宋" w:cs="仿宋"/>
          <w:spacing w:val="5"/>
          <w:sz w:val="32"/>
          <w:szCs w:val="32"/>
        </w:rPr>
        <w:t>兴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有效衔接的任务需要及财力情况，每年预算安排一定规模的本级</w:t>
      </w:r>
    </w:p>
    <w:p>
      <w:pPr>
        <w:spacing w:before="1" w:line="219" w:lineRule="auto"/>
        <w:ind w:left="20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衔接资金，保持投入力度总体稳定。</w:t>
      </w:r>
    </w:p>
    <w:p>
      <w:pPr>
        <w:spacing w:before="301" w:line="222" w:lineRule="auto"/>
        <w:ind w:left="340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"/>
          <w:sz w:val="32"/>
          <w:szCs w:val="32"/>
        </w:rPr>
        <w:t>第二章</w:t>
      </w:r>
      <w:r>
        <w:rPr>
          <w:rFonts w:ascii="黑体" w:hAnsi="黑体" w:eastAsia="黑体" w:cs="黑体"/>
          <w:spacing w:val="6"/>
          <w:sz w:val="32"/>
          <w:szCs w:val="32"/>
        </w:rPr>
        <w:t xml:space="preserve">  </w:t>
      </w:r>
      <w:r>
        <w:rPr>
          <w:rFonts w:ascii="黑体" w:hAnsi="黑体" w:eastAsia="黑体" w:cs="黑体"/>
          <w:b/>
          <w:bCs/>
          <w:spacing w:val="-2"/>
          <w:sz w:val="32"/>
          <w:szCs w:val="32"/>
        </w:rPr>
        <w:t>资金分配</w:t>
      </w:r>
    </w:p>
    <w:p>
      <w:pPr>
        <w:spacing w:before="161" w:line="324" w:lineRule="auto"/>
        <w:ind w:left="206" w:firstLine="67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3"/>
          <w:sz w:val="32"/>
          <w:szCs w:val="32"/>
        </w:rPr>
        <w:t>第四条</w:t>
      </w:r>
      <w:r>
        <w:rPr>
          <w:rFonts w:ascii="仿宋" w:hAnsi="仿宋" w:eastAsia="仿宋" w:cs="仿宋"/>
          <w:spacing w:val="12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</w:rPr>
        <w:t>衔接资金按照巩固拓展脱贫攻坚成果和乡村振兴</w:t>
      </w:r>
      <w:r>
        <w:rPr>
          <w:rFonts w:ascii="仿宋" w:hAnsi="仿宋" w:eastAsia="仿宋" w:cs="仿宋"/>
          <w:spacing w:val="2"/>
          <w:sz w:val="32"/>
          <w:szCs w:val="32"/>
        </w:rPr>
        <w:t>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以工代赈、少数民族发展、欠发达地区国有农场巩固提升、欠发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达地区国有林场巩固提升任务以及资金使用要求进行分配。在分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配衔接资金时，应统筹兼顾脱贫村和非贫困村实际情况，推动均</w:t>
      </w:r>
    </w:p>
    <w:p>
      <w:pPr>
        <w:spacing w:before="1" w:line="221" w:lineRule="auto"/>
        <w:ind w:left="20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衡发展。</w:t>
      </w:r>
    </w:p>
    <w:p>
      <w:pPr>
        <w:spacing w:before="172" w:line="222" w:lineRule="auto"/>
        <w:ind w:left="88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1"/>
          <w:sz w:val="32"/>
          <w:szCs w:val="32"/>
        </w:rPr>
        <w:t>第五条</w:t>
      </w:r>
      <w:r>
        <w:rPr>
          <w:rFonts w:ascii="仿宋" w:hAnsi="仿宋" w:eastAsia="仿宋" w:cs="仿宋"/>
          <w:spacing w:val="14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县乡村振兴局、县财政局会同县发展改革委、民宗</w:t>
      </w:r>
    </w:p>
    <w:p>
      <w:pPr>
        <w:sectPr>
          <w:footerReference r:id="rId6" w:type="default"/>
          <w:pgSz w:w="12360" w:h="17000"/>
          <w:pgMar w:top="1445" w:right="1259" w:bottom="581" w:left="1854" w:header="0" w:footer="353" w:gutter="0"/>
          <w:cols w:space="720" w:num="1"/>
        </w:sectPr>
      </w:pPr>
    </w:p>
    <w:p>
      <w:pPr>
        <w:spacing w:before="308" w:line="330" w:lineRule="auto"/>
        <w:ind w:left="196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局、农业农村局、林业局等相关部门在中央、省、市财政衔接资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2"/>
          <w:sz w:val="32"/>
          <w:szCs w:val="32"/>
        </w:rPr>
        <w:t>金及县级预算安排衔接资金到账后20日内，按照衔接资金管理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办法及实施细则要求，结合项目库，提出财政衔接资金分配计划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报送县委农村工作领导小组审定，并及时下达衔接资金分配方案</w:t>
      </w:r>
    </w:p>
    <w:p>
      <w:pPr>
        <w:spacing w:line="223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5"/>
          <w:sz w:val="32"/>
          <w:szCs w:val="32"/>
        </w:rPr>
        <w:t>批复。</w:t>
      </w:r>
    </w:p>
    <w:p>
      <w:pPr>
        <w:spacing w:before="206" w:line="330" w:lineRule="auto"/>
        <w:ind w:left="196" w:right="10" w:firstLine="61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3"/>
          <w:sz w:val="32"/>
          <w:szCs w:val="32"/>
        </w:rPr>
        <w:t>县财政局根据县委农村工作领导小组下达的衔接资金分配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方案批复，将衔接资金通过安徽预算管理一体化系统</w:t>
      </w:r>
      <w:r>
        <w:rPr>
          <w:rFonts w:ascii="仿宋" w:hAnsi="仿宋" w:eastAsia="仿宋" w:cs="仿宋"/>
          <w:sz w:val="32"/>
          <w:szCs w:val="32"/>
        </w:rPr>
        <w:t>拨付到各项</w:t>
      </w:r>
    </w:p>
    <w:p>
      <w:pPr>
        <w:spacing w:before="1" w:line="221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目主管部门。各项目主管部门要视项目进度及时支出资金。</w:t>
      </w:r>
    </w:p>
    <w:p>
      <w:pPr>
        <w:spacing w:before="213" w:line="222" w:lineRule="auto"/>
        <w:ind w:left="341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"/>
          <w:sz w:val="32"/>
          <w:szCs w:val="32"/>
        </w:rPr>
        <w:t>第三章</w:t>
      </w:r>
      <w:r>
        <w:rPr>
          <w:rFonts w:ascii="黑体" w:hAnsi="黑体" w:eastAsia="黑体" w:cs="黑体"/>
          <w:spacing w:val="15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2"/>
          <w:sz w:val="32"/>
          <w:szCs w:val="32"/>
        </w:rPr>
        <w:t>资金支出范围</w:t>
      </w:r>
    </w:p>
    <w:p>
      <w:pPr>
        <w:spacing w:before="154" w:line="585" w:lineRule="exact"/>
        <w:ind w:left="8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8"/>
          <w:position w:val="19"/>
          <w:sz w:val="32"/>
          <w:szCs w:val="32"/>
        </w:rPr>
        <w:t>第六条</w:t>
      </w:r>
      <w:r>
        <w:rPr>
          <w:rFonts w:ascii="仿宋" w:hAnsi="仿宋" w:eastAsia="仿宋" w:cs="仿宋"/>
          <w:spacing w:val="-31"/>
          <w:position w:val="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position w:val="19"/>
          <w:sz w:val="32"/>
          <w:szCs w:val="32"/>
        </w:rPr>
        <w:t>衔接资金应当与其他用于乡村振兴的财政性资金统</w:t>
      </w:r>
    </w:p>
    <w:p>
      <w:pPr>
        <w:spacing w:line="222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筹安排使用，形成合力，发挥整体效益。主要用于以下方面：</w:t>
      </w:r>
    </w:p>
    <w:p>
      <w:pPr>
        <w:spacing w:before="185" w:line="222" w:lineRule="auto"/>
        <w:ind w:left="995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3"/>
          <w:sz w:val="32"/>
          <w:szCs w:val="32"/>
        </w:rPr>
        <w:t>(一)支持巩固拓展脱贫攻坚成果。</w:t>
      </w:r>
    </w:p>
    <w:p>
      <w:pPr>
        <w:spacing w:before="163" w:line="323" w:lineRule="auto"/>
        <w:ind w:left="196" w:right="5" w:firstLine="61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1.健全防止返贫致贫监测和帮扶机制，加强监测预</w:t>
      </w:r>
      <w:r>
        <w:rPr>
          <w:rFonts w:ascii="仿宋" w:hAnsi="仿宋" w:eastAsia="仿宋" w:cs="仿宋"/>
          <w:sz w:val="32"/>
          <w:szCs w:val="32"/>
        </w:rPr>
        <w:t xml:space="preserve">警，强化 </w:t>
      </w:r>
      <w:r>
        <w:rPr>
          <w:rFonts w:ascii="仿宋" w:hAnsi="仿宋" w:eastAsia="仿宋" w:cs="仿宋"/>
          <w:spacing w:val="-1"/>
          <w:sz w:val="32"/>
          <w:szCs w:val="32"/>
        </w:rPr>
        <w:t>及时帮扶，对监测帮扶对象采取有针对性的预防性措施和事后帮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扶措施。可安排产业发展、小额信贷贴息、生产经营和劳动技能</w:t>
      </w:r>
    </w:p>
    <w:p>
      <w:pPr>
        <w:spacing w:before="1" w:line="220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培训、公益岗位补助、“防贫保”保费补贴、临时救助等</w:t>
      </w:r>
      <w:r>
        <w:rPr>
          <w:rFonts w:ascii="仿宋" w:hAnsi="仿宋" w:eastAsia="仿宋" w:cs="仿宋"/>
          <w:spacing w:val="-4"/>
          <w:sz w:val="32"/>
          <w:szCs w:val="32"/>
        </w:rPr>
        <w:t>支出。</w:t>
      </w:r>
    </w:p>
    <w:p>
      <w:pPr>
        <w:spacing w:before="181" w:line="323" w:lineRule="auto"/>
        <w:ind w:left="196" w:right="11" w:firstLine="61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3"/>
          <w:sz w:val="32"/>
          <w:szCs w:val="32"/>
        </w:rPr>
        <w:t>2.鼓励支持脱贫劳动力(含监测帮扶对象家庭)务工就业增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2"/>
          <w:sz w:val="32"/>
          <w:szCs w:val="32"/>
        </w:rPr>
        <w:t>加收入，可对其给予适当务工奖补(含交通补贴)</w:t>
      </w:r>
      <w:r>
        <w:rPr>
          <w:rFonts w:ascii="仿宋" w:hAnsi="仿宋" w:eastAsia="仿宋" w:cs="仿宋"/>
          <w:spacing w:val="11"/>
          <w:sz w:val="32"/>
          <w:szCs w:val="32"/>
        </w:rPr>
        <w:t>。采取扶贫车</w:t>
      </w:r>
      <w:r>
        <w:rPr>
          <w:rFonts w:ascii="仿宋" w:hAnsi="仿宋" w:eastAsia="仿宋" w:cs="仿宋"/>
          <w:sz w:val="32"/>
          <w:szCs w:val="32"/>
        </w:rPr>
        <w:t xml:space="preserve"> 间、以工代赈、生产奖补、劳务补助等方式，促进返乡在乡脱贫 </w:t>
      </w:r>
      <w:r>
        <w:rPr>
          <w:rFonts w:ascii="仿宋" w:hAnsi="仿宋" w:eastAsia="仿宋" w:cs="仿宋"/>
          <w:spacing w:val="6"/>
          <w:sz w:val="32"/>
          <w:szCs w:val="32"/>
        </w:rPr>
        <w:t>劳动力发展产业和就业增收。继续向符合条件的</w:t>
      </w:r>
      <w:r>
        <w:rPr>
          <w:rFonts w:ascii="仿宋" w:hAnsi="仿宋" w:eastAsia="仿宋" w:cs="仿宋"/>
          <w:spacing w:val="5"/>
          <w:sz w:val="32"/>
          <w:szCs w:val="32"/>
        </w:rPr>
        <w:t>脱贫家庭(含监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测帮扶对象家庭)安排“雨露计划”补助，以及符合条件的贫困</w:t>
      </w:r>
    </w:p>
    <w:p>
      <w:pPr>
        <w:spacing w:line="222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大学生家庭安排救助。</w:t>
      </w:r>
    </w:p>
    <w:p>
      <w:pPr>
        <w:spacing w:before="233" w:line="222" w:lineRule="auto"/>
        <w:ind w:left="94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3"/>
          <w:sz w:val="32"/>
          <w:szCs w:val="32"/>
        </w:rPr>
        <w:t>(二)支持衔接推进乡村振兴。</w:t>
      </w:r>
    </w:p>
    <w:p>
      <w:pPr>
        <w:spacing w:before="183" w:line="572" w:lineRule="exact"/>
        <w:ind w:left="81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position w:val="18"/>
          <w:sz w:val="32"/>
          <w:szCs w:val="32"/>
        </w:rPr>
        <w:t>1.培育和壮大特色优势产业并逐年提高资金占</w:t>
      </w:r>
      <w:r>
        <w:rPr>
          <w:rFonts w:ascii="仿宋" w:hAnsi="仿宋" w:eastAsia="仿宋" w:cs="仿宋"/>
          <w:position w:val="18"/>
          <w:sz w:val="32"/>
          <w:szCs w:val="32"/>
        </w:rPr>
        <w:t>比，支持农业</w:t>
      </w:r>
    </w:p>
    <w:p>
      <w:pPr>
        <w:spacing w:before="1" w:line="220" w:lineRule="auto"/>
        <w:ind w:left="196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品种培优、品质提升、品牌打造。推动产销对接和消费帮扶，解</w:t>
      </w:r>
    </w:p>
    <w:p>
      <w:pPr>
        <w:sectPr>
          <w:footerReference r:id="rId7" w:type="default"/>
          <w:pgSz w:w="12360" w:h="17000"/>
          <w:pgMar w:top="1445" w:right="1316" w:bottom="628" w:left="1854" w:header="0" w:footer="489" w:gutter="0"/>
          <w:cols w:space="720" w:num="1"/>
        </w:sectPr>
      </w:pPr>
    </w:p>
    <w:p>
      <w:pPr>
        <w:spacing w:before="246" w:line="587" w:lineRule="exact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position w:val="19"/>
          <w:sz w:val="32"/>
          <w:szCs w:val="32"/>
        </w:rPr>
        <w:t>决农产品“卖难”问题。支持必要的产业配套基础设施建设。支</w:t>
      </w:r>
    </w:p>
    <w:p>
      <w:pPr>
        <w:spacing w:line="220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持发展壮大村级集体经济。</w:t>
      </w:r>
    </w:p>
    <w:p>
      <w:pPr>
        <w:spacing w:before="180" w:line="329" w:lineRule="auto"/>
        <w:ind w:left="223" w:right="97" w:firstLine="66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2"/>
          <w:sz w:val="32"/>
          <w:szCs w:val="32"/>
        </w:rPr>
        <w:t>2.补齐必要的农村人居环境整治和小型公益性基础设施建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设短板，主要包括水、电、路、网等农业生产配套设施，以及垃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圾清运等小型公益性生活设施。教育、卫生、养老服务、文化等</w:t>
      </w:r>
    </w:p>
    <w:p>
      <w:pPr>
        <w:spacing w:before="1" w:line="221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农村基本公共服务通过原资金渠道支持。</w:t>
      </w:r>
    </w:p>
    <w:p>
      <w:pPr>
        <w:spacing w:before="185" w:line="572" w:lineRule="exact"/>
        <w:ind w:left="89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position w:val="18"/>
          <w:sz w:val="32"/>
          <w:szCs w:val="32"/>
        </w:rPr>
        <w:t>3.实施少数民族特色产业和民族村发展、以工代赈项目，欠</w:t>
      </w:r>
    </w:p>
    <w:p>
      <w:pPr>
        <w:spacing w:line="222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发达国有农场和欠发达国有林场巩固发展。</w:t>
      </w:r>
    </w:p>
    <w:p>
      <w:pPr>
        <w:spacing w:before="180" w:line="573" w:lineRule="exact"/>
        <w:ind w:right="99"/>
        <w:jc w:val="righ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position w:val="18"/>
          <w:sz w:val="32"/>
          <w:szCs w:val="32"/>
        </w:rPr>
        <w:t>(三)符合中央、省、市和县委、县政府工作要求的</w:t>
      </w:r>
      <w:r>
        <w:rPr>
          <w:rFonts w:ascii="仿宋" w:hAnsi="仿宋" w:eastAsia="仿宋" w:cs="仿宋"/>
          <w:spacing w:val="6"/>
          <w:position w:val="18"/>
          <w:sz w:val="32"/>
          <w:szCs w:val="32"/>
        </w:rPr>
        <w:t>巩固拓</w:t>
      </w:r>
    </w:p>
    <w:p>
      <w:pPr>
        <w:spacing w:before="1" w:line="221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展脱贫攻坚成果同乡村振兴有效衔接的其他相关支出。</w:t>
      </w:r>
    </w:p>
    <w:p>
      <w:pPr>
        <w:spacing w:before="203" w:line="329" w:lineRule="auto"/>
        <w:ind w:left="223" w:right="93" w:firstLine="6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6"/>
          <w:sz w:val="32"/>
          <w:szCs w:val="32"/>
        </w:rPr>
        <w:t>第七条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衔接资金实行“负面清单”管理，不得用于与巩固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0"/>
          <w:sz w:val="32"/>
          <w:szCs w:val="32"/>
        </w:rPr>
        <w:t>拓展脱贫攻坚成果和推进欠发达地区乡村振兴无关的支出，包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"/>
          <w:sz w:val="32"/>
          <w:szCs w:val="32"/>
        </w:rPr>
        <w:t>括：单位基本支出、交通工具及通讯设备、修建楼堂馆</w:t>
      </w:r>
      <w:r>
        <w:rPr>
          <w:rFonts w:ascii="仿宋" w:hAnsi="仿宋" w:eastAsia="仿宋" w:cs="仿宋"/>
          <w:sz w:val="32"/>
          <w:szCs w:val="32"/>
        </w:rPr>
        <w:t>所、各种</w:t>
      </w:r>
    </w:p>
    <w:p>
      <w:pPr>
        <w:spacing w:before="2" w:line="220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奖金津贴和福利补助、偿还债务和垫资等。</w:t>
      </w:r>
    </w:p>
    <w:p>
      <w:pPr>
        <w:spacing w:before="175" w:line="222" w:lineRule="auto"/>
        <w:ind w:left="3398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6"/>
          <w:sz w:val="32"/>
          <w:szCs w:val="32"/>
        </w:rPr>
        <w:t>第四章</w:t>
      </w:r>
      <w:r>
        <w:rPr>
          <w:rFonts w:ascii="黑体" w:hAnsi="黑体" w:eastAsia="黑体" w:cs="黑体"/>
          <w:spacing w:val="159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6"/>
          <w:sz w:val="32"/>
          <w:szCs w:val="32"/>
        </w:rPr>
        <w:t>资金使用</w:t>
      </w:r>
    </w:p>
    <w:p>
      <w:pPr>
        <w:spacing w:before="164" w:line="584" w:lineRule="exact"/>
        <w:ind w:left="898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3"/>
          <w:position w:val="19"/>
          <w:sz w:val="32"/>
          <w:szCs w:val="32"/>
        </w:rPr>
        <w:t>第八条</w:t>
      </w:r>
      <w:r>
        <w:rPr>
          <w:rFonts w:ascii="仿宋" w:hAnsi="仿宋" w:eastAsia="仿宋" w:cs="仿宋"/>
          <w:spacing w:val="169"/>
          <w:position w:val="1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position w:val="19"/>
          <w:sz w:val="32"/>
          <w:szCs w:val="32"/>
        </w:rPr>
        <w:t>县级在安排衔接资金时要兼顾脱贫村和非贫困村、</w:t>
      </w:r>
    </w:p>
    <w:p>
      <w:pPr>
        <w:spacing w:before="1" w:line="221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脱贫群体和其他农村人口，提高资金使用效益。</w:t>
      </w:r>
    </w:p>
    <w:p>
      <w:pPr>
        <w:spacing w:before="157" w:line="329" w:lineRule="auto"/>
        <w:ind w:left="223" w:right="98" w:firstLine="66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8"/>
          <w:sz w:val="32"/>
          <w:szCs w:val="32"/>
        </w:rPr>
        <w:t>县级可统筹安排不超过30%的中央财政衔接资金支持非贫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"/>
          <w:sz w:val="32"/>
          <w:szCs w:val="32"/>
        </w:rPr>
        <w:t>困村发展产业、补齐必要的基础设施短板，及县级乡村振兴规划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相关项目。省、市、县级财政衔接资金用于上述方面的比例由县</w:t>
      </w:r>
    </w:p>
    <w:p>
      <w:pPr>
        <w:spacing w:line="222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级结合本地实际确定。</w:t>
      </w:r>
    </w:p>
    <w:p>
      <w:pPr>
        <w:spacing w:before="174" w:line="335" w:lineRule="auto"/>
        <w:ind w:left="223" w:right="117" w:firstLine="66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衔接资金重点支持产业发展，中央、省、市衔接资金用于产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1"/>
          <w:sz w:val="32"/>
          <w:szCs w:val="32"/>
        </w:rPr>
        <w:t>业发展资金规模占比原则上不低于其总规模的50%,县级财政衔</w:t>
      </w:r>
    </w:p>
    <w:p>
      <w:pPr>
        <w:spacing w:line="222" w:lineRule="auto"/>
        <w:ind w:left="22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接资金用于产业发展资金比例由县级结合实际确定。</w:t>
      </w:r>
    </w:p>
    <w:p>
      <w:pPr>
        <w:spacing w:before="169" w:line="222" w:lineRule="auto"/>
        <w:ind w:left="898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6"/>
          <w:sz w:val="32"/>
          <w:szCs w:val="32"/>
        </w:rPr>
        <w:t>第九条</w:t>
      </w:r>
      <w:r>
        <w:rPr>
          <w:rFonts w:ascii="仿宋" w:hAnsi="仿宋" w:eastAsia="仿宋" w:cs="仿宋"/>
          <w:spacing w:val="-2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县级要建立完善巩固拓展脱贫攻坚成果和乡村振</w:t>
      </w:r>
      <w:r>
        <w:rPr>
          <w:rFonts w:ascii="仿宋" w:hAnsi="仿宋" w:eastAsia="仿宋" w:cs="仿宋"/>
          <w:spacing w:val="5"/>
          <w:sz w:val="32"/>
          <w:szCs w:val="32"/>
        </w:rPr>
        <w:t>兴</w:t>
      </w:r>
    </w:p>
    <w:p>
      <w:pPr>
        <w:sectPr>
          <w:footerReference r:id="rId8" w:type="default"/>
          <w:pgSz w:w="12510" w:h="17100"/>
          <w:pgMar w:top="1453" w:right="1320" w:bottom="794" w:left="1876" w:header="0" w:footer="646" w:gutter="0"/>
          <w:cols w:space="720" w:num="1"/>
        </w:sectPr>
      </w:pPr>
    </w:p>
    <w:p>
      <w:pPr>
        <w:spacing w:before="163" w:line="588" w:lineRule="exact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position w:val="20"/>
          <w:sz w:val="31"/>
          <w:szCs w:val="31"/>
        </w:rPr>
        <w:t>项目库，提前做好项目储备，严格项目论证入库</w:t>
      </w:r>
      <w:r>
        <w:rPr>
          <w:rFonts w:ascii="仿宋" w:hAnsi="仿宋" w:eastAsia="仿宋" w:cs="仿宋"/>
          <w:spacing w:val="11"/>
          <w:position w:val="20"/>
          <w:sz w:val="31"/>
          <w:szCs w:val="31"/>
        </w:rPr>
        <w:t>，衔接资金支持</w:t>
      </w:r>
    </w:p>
    <w:p>
      <w:pPr>
        <w:spacing w:line="220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的项目原则上从项目库选择，且符合本细则要求。</w:t>
      </w:r>
    </w:p>
    <w:p>
      <w:pPr>
        <w:spacing w:before="197" w:line="572" w:lineRule="exact"/>
        <w:ind w:left="8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position w:val="19"/>
          <w:sz w:val="31"/>
          <w:szCs w:val="31"/>
        </w:rPr>
        <w:t>县级在选择具体项目时，优先支持可通过土地流转、务工就</w:t>
      </w:r>
    </w:p>
    <w:p>
      <w:pPr>
        <w:spacing w:line="219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业、收益分享等方式，有效带动村集体、农户稳定增收的项目。</w:t>
      </w:r>
    </w:p>
    <w:p>
      <w:pPr>
        <w:spacing w:before="212" w:line="346" w:lineRule="auto"/>
        <w:ind w:left="206" w:right="39" w:firstLine="6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8"/>
          <w:sz w:val="31"/>
          <w:szCs w:val="31"/>
        </w:rPr>
        <w:t>第十条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衔接资金的支付，按照财政国库集中支付制度有关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规定执行。属于政府采购管理范围的，执行政府采购相关规定，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3"/>
          <w:sz w:val="31"/>
          <w:szCs w:val="31"/>
        </w:rPr>
        <w:t>村级微小型项目可按照村民民主议事方式直接委托村级组织自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建自营，资金限额为县财政公布的政府集中采购目录和标准的分</w:t>
      </w:r>
    </w:p>
    <w:p>
      <w:pPr>
        <w:spacing w:line="222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散采购限额标准以下。</w:t>
      </w:r>
    </w:p>
    <w:p>
      <w:pPr>
        <w:spacing w:before="143" w:line="222" w:lineRule="auto"/>
        <w:ind w:left="342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13"/>
          <w:sz w:val="31"/>
          <w:szCs w:val="31"/>
        </w:rPr>
        <w:t>第五章</w:t>
      </w:r>
      <w:r>
        <w:rPr>
          <w:rFonts w:ascii="黑体" w:hAnsi="黑体" w:eastAsia="黑体" w:cs="黑体"/>
          <w:spacing w:val="9"/>
          <w:sz w:val="31"/>
          <w:szCs w:val="31"/>
        </w:rPr>
        <w:t xml:space="preserve">  </w:t>
      </w:r>
      <w:r>
        <w:rPr>
          <w:rFonts w:ascii="黑体" w:hAnsi="黑体" w:eastAsia="黑体" w:cs="黑体"/>
          <w:b/>
          <w:bCs/>
          <w:spacing w:val="13"/>
          <w:sz w:val="31"/>
          <w:szCs w:val="31"/>
        </w:rPr>
        <w:t>资金管理</w:t>
      </w:r>
    </w:p>
    <w:p>
      <w:pPr>
        <w:spacing w:before="207" w:line="335" w:lineRule="auto"/>
        <w:ind w:left="206" w:right="53" w:firstLine="70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第十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一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条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各项目主管部门要加强衔接资金和项目管理，落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实绩效管理要求，全面推行公开公示制度，加快预算执行，提高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资金使用效益。结转结余的衔接资金，按照财政部和</w:t>
      </w:r>
      <w:r>
        <w:rPr>
          <w:rFonts w:ascii="仿宋" w:hAnsi="仿宋" w:eastAsia="仿宋" w:cs="仿宋"/>
          <w:spacing w:val="10"/>
          <w:sz w:val="31"/>
          <w:szCs w:val="31"/>
        </w:rPr>
        <w:t>省财政厅相</w:t>
      </w:r>
    </w:p>
    <w:p>
      <w:pPr>
        <w:spacing w:before="1" w:line="224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关规定处理。</w:t>
      </w:r>
    </w:p>
    <w:p>
      <w:pPr>
        <w:spacing w:before="177" w:line="334" w:lineRule="auto"/>
        <w:ind w:left="206" w:right="74" w:firstLine="70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第十二条</w:t>
      </w:r>
      <w:r>
        <w:rPr>
          <w:rFonts w:ascii="仿宋" w:hAnsi="仿宋" w:eastAsia="仿宋" w:cs="仿宋"/>
          <w:spacing w:val="1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县级财政部门负责县本级衔接资金预算</w:t>
      </w:r>
      <w:r>
        <w:rPr>
          <w:rFonts w:ascii="仿宋" w:hAnsi="仿宋" w:eastAsia="仿宋" w:cs="仿宋"/>
          <w:spacing w:val="10"/>
          <w:sz w:val="31"/>
          <w:szCs w:val="31"/>
        </w:rPr>
        <w:t>安排，根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据县委农村工作领导小组批复的衔接资金分配方案及时拨付资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金，指导乡村振兴、发展改革、民族宗教、农业农村、林业等行 </w:t>
      </w:r>
      <w:r>
        <w:rPr>
          <w:rFonts w:ascii="仿宋" w:hAnsi="仿宋" w:eastAsia="仿宋" w:cs="仿宋"/>
          <w:spacing w:val="22"/>
          <w:sz w:val="31"/>
          <w:szCs w:val="31"/>
        </w:rPr>
        <w:t>业主管部门(以下简称行业主管部门)和有关单位加强资金</w:t>
      </w:r>
      <w:r>
        <w:rPr>
          <w:rFonts w:ascii="仿宋" w:hAnsi="仿宋" w:eastAsia="仿宋" w:cs="仿宋"/>
          <w:spacing w:val="21"/>
          <w:sz w:val="31"/>
          <w:szCs w:val="31"/>
        </w:rPr>
        <w:t>监管</w:t>
      </w:r>
    </w:p>
    <w:p>
      <w:pPr>
        <w:spacing w:line="223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和绩效管理。</w:t>
      </w:r>
    </w:p>
    <w:p>
      <w:pPr>
        <w:spacing w:before="240" w:line="347" w:lineRule="auto"/>
        <w:ind w:left="206" w:right="28" w:firstLine="69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各级行业主管部门负责提出资金分配建议方案、资金和项目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使用管理、绩效管理、监督管理等工作，按照权责对等原则落实</w:t>
      </w:r>
    </w:p>
    <w:p>
      <w:pPr>
        <w:spacing w:before="1" w:line="223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监管责任。</w:t>
      </w:r>
    </w:p>
    <w:p>
      <w:pPr>
        <w:spacing w:before="138" w:line="352" w:lineRule="auto"/>
        <w:ind w:left="206" w:right="37" w:firstLine="70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8"/>
          <w:sz w:val="31"/>
          <w:szCs w:val="31"/>
        </w:rPr>
        <w:t>第十三条</w:t>
      </w:r>
      <w:r>
        <w:rPr>
          <w:rFonts w:ascii="仿宋" w:hAnsi="仿宋" w:eastAsia="仿宋" w:cs="仿宋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各级财政、行业主管部门和有关单位按要求配合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审计、纪检监察、检察机关做好衔接资金和项目的审计、检查</w:t>
      </w:r>
      <w:r>
        <w:rPr>
          <w:rFonts w:ascii="仿宋" w:hAnsi="仿宋" w:eastAsia="仿宋" w:cs="仿宋"/>
          <w:spacing w:val="9"/>
          <w:sz w:val="31"/>
          <w:szCs w:val="31"/>
        </w:rPr>
        <w:t>等</w:t>
      </w:r>
    </w:p>
    <w:p>
      <w:pPr>
        <w:spacing w:line="220" w:lineRule="auto"/>
        <w:ind w:left="20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工作。</w:t>
      </w:r>
    </w:p>
    <w:p>
      <w:pPr>
        <w:sectPr>
          <w:footerReference r:id="rId9" w:type="default"/>
          <w:pgSz w:w="12360" w:h="17000"/>
          <w:pgMar w:top="1445" w:right="1215" w:bottom="761" w:left="1854" w:header="0" w:footer="533" w:gutter="0"/>
          <w:cols w:space="720" w:num="1"/>
        </w:sectPr>
      </w:pPr>
    </w:p>
    <w:p>
      <w:pPr>
        <w:spacing w:line="325" w:lineRule="auto"/>
        <w:rPr>
          <w:rFonts w:ascii="Arial"/>
          <w:sz w:val="21"/>
        </w:rPr>
      </w:pPr>
    </w:p>
    <w:p>
      <w:pPr>
        <w:spacing w:before="101" w:line="346" w:lineRule="auto"/>
        <w:ind w:left="235" w:right="35" w:firstLine="68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5"/>
          <w:sz w:val="31"/>
          <w:szCs w:val="31"/>
        </w:rPr>
        <w:t>第十四条</w:t>
      </w:r>
      <w:r>
        <w:rPr>
          <w:rFonts w:ascii="仿宋" w:hAnsi="仿宋" w:eastAsia="仿宋" w:cs="仿宋"/>
          <w:spacing w:val="2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各级财政、行业主管部门和有关单位及其工作人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员在衔接资金分配、使用管理等工作中，存在违反本细则规定，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以及滥用职权、玩忽职守、徇私舞弊等违法违纪行为的，按照国</w:t>
      </w:r>
    </w:p>
    <w:p>
      <w:pPr>
        <w:spacing w:line="220" w:lineRule="auto"/>
        <w:ind w:left="2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家有关规定追究相应责任；涉嫌犯罪的，移送有关国家机关处理。</w:t>
      </w:r>
    </w:p>
    <w:p>
      <w:pPr>
        <w:spacing w:before="200" w:line="222" w:lineRule="auto"/>
        <w:ind w:left="376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3"/>
          <w:sz w:val="31"/>
          <w:szCs w:val="31"/>
        </w:rPr>
        <w:t>第六章</w:t>
      </w:r>
      <w:r>
        <w:rPr>
          <w:rFonts w:ascii="黑体" w:hAnsi="黑体" w:eastAsia="黑体" w:cs="黑体"/>
          <w:spacing w:val="9"/>
          <w:sz w:val="31"/>
          <w:szCs w:val="31"/>
        </w:rPr>
        <w:t xml:space="preserve">  </w:t>
      </w:r>
      <w:r>
        <w:rPr>
          <w:rFonts w:ascii="黑体" w:hAnsi="黑体" w:eastAsia="黑体" w:cs="黑体"/>
          <w:b/>
          <w:bCs/>
          <w:spacing w:val="-3"/>
          <w:sz w:val="31"/>
          <w:szCs w:val="31"/>
        </w:rPr>
        <w:t>附</w:t>
      </w:r>
      <w:r>
        <w:rPr>
          <w:rFonts w:ascii="黑体" w:hAnsi="黑体" w:eastAsia="黑体" w:cs="黑体"/>
          <w:spacing w:val="-6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3"/>
          <w:sz w:val="31"/>
          <w:szCs w:val="31"/>
        </w:rPr>
        <w:t>则</w:t>
      </w:r>
    </w:p>
    <w:p>
      <w:pPr>
        <w:spacing w:before="188" w:line="334" w:lineRule="auto"/>
        <w:ind w:left="235" w:right="64" w:firstLine="70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第十五条</w:t>
      </w:r>
      <w:r>
        <w:rPr>
          <w:rFonts w:ascii="仿宋" w:hAnsi="仿宋" w:eastAsia="仿宋" w:cs="仿宋"/>
          <w:spacing w:val="1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本细则自印发之日起施行，由县财政局</w:t>
      </w:r>
      <w:r>
        <w:rPr>
          <w:rFonts w:ascii="仿宋" w:hAnsi="仿宋" w:eastAsia="仿宋" w:cs="仿宋"/>
          <w:spacing w:val="8"/>
          <w:sz w:val="31"/>
          <w:szCs w:val="31"/>
        </w:rPr>
        <w:t>会同行业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主管部门负责解释。《东至县财政局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东至县扶贫开发局关于印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发&lt;东至县扶贫项目资金管理规程(实施细则)&gt;的</w:t>
      </w:r>
      <w:r>
        <w:rPr>
          <w:rFonts w:ascii="仿宋" w:hAnsi="仿宋" w:eastAsia="仿宋" w:cs="仿宋"/>
          <w:spacing w:val="23"/>
          <w:sz w:val="31"/>
          <w:szCs w:val="31"/>
        </w:rPr>
        <w:t>通知》(东财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农〔2019〕70号)、《东至县财政局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2"/>
          <w:sz w:val="31"/>
          <w:szCs w:val="31"/>
        </w:rPr>
        <w:t>东至县扶贫开发局关于印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发&lt;东至县财政专项扶贫资金使用</w:t>
      </w:r>
      <w:r>
        <w:rPr>
          <w:rFonts w:ascii="仿宋" w:hAnsi="仿宋" w:eastAsia="仿宋" w:cs="仿宋"/>
          <w:spacing w:val="13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“负面清单”&gt;的通知》(东财</w:t>
      </w:r>
    </w:p>
    <w:p>
      <w:pPr>
        <w:spacing w:line="223" w:lineRule="auto"/>
        <w:ind w:left="2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农〔2019〕45号)同时废止。</w:t>
      </w:r>
    </w:p>
    <w:sectPr>
      <w:footerReference r:id="rId10" w:type="default"/>
      <w:pgSz w:w="12360" w:h="17000"/>
      <w:pgMar w:top="1445" w:right="1235" w:bottom="537" w:left="1854" w:header="0" w:footer="39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5" w:lineRule="auto"/>
      <w:ind w:left="4706"/>
      <w:rPr>
        <w:rFonts w:ascii="Arial" w:hAnsi="Arial" w:eastAsia="Arial" w:cs="Arial"/>
        <w:sz w:val="19"/>
        <w:szCs w:val="19"/>
      </w:rPr>
    </w:pPr>
    <w:r>
      <w:rPr>
        <w:rFonts w:ascii="Arial" w:hAnsi="Arial" w:eastAsia="Arial" w:cs="Arial"/>
        <w:color w:val="24302C"/>
        <w:sz w:val="19"/>
        <w:szCs w:val="19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605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z w:val="23"/>
        <w:szCs w:val="23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586"/>
      <w:rPr>
        <w:rFonts w:ascii="宋体" w:hAnsi="宋体" w:eastAsia="宋体" w:cs="宋体"/>
        <w:sz w:val="14"/>
        <w:szCs w:val="14"/>
      </w:rPr>
    </w:pPr>
    <w:r>
      <w:rPr>
        <w:rFonts w:ascii="宋体" w:hAnsi="宋体" w:eastAsia="宋体" w:cs="宋体"/>
        <w:sz w:val="14"/>
        <w:szCs w:val="14"/>
      </w:rPr>
      <w:t>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1" w:lineRule="auto"/>
      <w:ind w:left="4663"/>
      <w:rPr>
        <w:rFonts w:ascii="宋体" w:hAnsi="宋体" w:eastAsia="宋体" w:cs="宋体"/>
        <w:sz w:val="15"/>
        <w:szCs w:val="15"/>
      </w:rPr>
    </w:pPr>
    <w:r>
      <w:rPr>
        <w:rFonts w:ascii="宋体" w:hAnsi="宋体" w:eastAsia="宋体" w:cs="宋体"/>
        <w:sz w:val="15"/>
        <w:szCs w:val="15"/>
      </w:rPr>
      <w:t>5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705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z w:val="23"/>
        <w:szCs w:val="23"/>
      </w:rPr>
      <w:t>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1" w:lineRule="auto"/>
      <w:ind w:left="4615"/>
      <w:rPr>
        <w:rFonts w:ascii="宋体" w:hAnsi="宋体" w:eastAsia="宋体" w:cs="宋体"/>
        <w:sz w:val="14"/>
        <w:szCs w:val="14"/>
      </w:rPr>
    </w:pPr>
    <w:r>
      <w:rPr>
        <w:rFonts w:ascii="宋体" w:hAnsi="宋体" w:eastAsia="宋体" w:cs="宋体"/>
        <w:sz w:val="14"/>
        <w:szCs w:val="14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jU0YjkwMTg5YjBiM2JlNmQzZjQ5YmY0ZmY5OWU2YmMifQ=="/>
  </w:docVars>
  <w:rsids>
    <w:rsidRoot w:val="00000000"/>
    <w:rsid w:val="335507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2902</Words>
  <Characters>2943</Characters>
  <TotalTime>1</TotalTime>
  <ScaleCrop>false</ScaleCrop>
  <LinksUpToDate>false</LinksUpToDate>
  <CharactersWithSpaces>3062</CharactersWithSpaces>
  <Application>WPS Office_11.1.0.12598_F1E327BC-269C-435d-A152-05C5408002CA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2023-04-25T15:59:00Z</dcterms:created>
  <dc:creator>Kingsoft-PDF</dc:creator>
  <cp:lastModifiedBy>leng·~潇*</cp:lastModifiedBy>
  <dcterms:modified xsi:type="dcterms:W3CDTF">2023-04-25T08:00:46Z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2023-04-25T15:59:13Z</vt:filetime>
  </property>
  <property fmtid="{D5CDD505-2E9C-101B-9397-08002B2CF9AE}" pid="4" name="UsrData">
    <vt:lpwstr>644788440c8b29001587bab2</vt:lpwstr>
  </property>
  <property fmtid="{D5CDD505-2E9C-101B-9397-08002B2CF9AE}" pid="5" name="KSOProductBuildVer">
    <vt:lpwstr>2052-11.1.0.12598</vt:lpwstr>
  </property>
  <property fmtid="{D5CDD505-2E9C-101B-9397-08002B2CF9AE}" pid="6" name="ICV">
    <vt:lpwstr>3131608A73ED4C51AC90B7C8B50BB32A</vt:lpwstr>
  </property>
</Properties>
</file>