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eastAsia="仿宋_GB2312"/>
          <w:lang w:val="en-US" w:eastAsia="zh-CN"/>
        </w:rPr>
      </w:pPr>
      <w:r>
        <w:rPr>
          <w:rFonts w:hint="eastAsia"/>
          <w:lang w:val="en-US" w:eastAsia="zh-CN"/>
        </w:rPr>
        <w:t xml:space="preserve">  </w:t>
      </w:r>
      <w:r>
        <w:rPr>
          <w:rFonts w:hint="eastAsia"/>
          <w:lang w:val="en-US" w:eastAsia="zh-CN"/>
        </w:rPr>
        <w:tab/>
      </w:r>
    </w:p>
    <w:p/>
    <w:p>
      <w:pPr>
        <w:jc w:val="center"/>
      </w:pPr>
    </w:p>
    <w:p>
      <w:pPr>
        <w:rPr>
          <w:rFonts w:hint="eastAsia" w:ascii="仿宋_GB2312" w:hAnsi="仿宋_GB2312" w:eastAsia="仿宋_GB2312" w:cs="仿宋_GB2312"/>
        </w:rPr>
      </w:pPr>
    </w:p>
    <w:p/>
    <w:p>
      <w:pPr>
        <w:rPr>
          <w:rFonts w:hint="eastAsia"/>
        </w:rPr>
      </w:pPr>
    </w:p>
    <w:p>
      <w:pPr>
        <w:rPr>
          <w:rFonts w:hint="eastAsia"/>
        </w:rPr>
      </w:pPr>
    </w:p>
    <w:p>
      <w:pPr>
        <w:keepNext w:val="0"/>
        <w:keepLines w:val="0"/>
        <w:pageBreakBefore w:val="0"/>
        <w:kinsoku/>
        <w:wordWrap/>
        <w:overflowPunct/>
        <w:topLinePunct w:val="0"/>
        <w:autoSpaceDE/>
        <w:autoSpaceDN/>
        <w:bidi w:val="0"/>
        <w:adjustRightInd/>
        <w:snapToGrid/>
        <w:spacing w:line="560" w:lineRule="exact"/>
        <w:textAlignment w:val="auto"/>
        <w:rPr>
          <w:rFonts w:hint="default" w:eastAsia="仿宋_GB2312"/>
          <w:lang w:val="en-US" w:eastAsia="zh-CN"/>
        </w:rPr>
      </w:pPr>
      <w:r>
        <w:rPr>
          <w:rFonts w:hint="eastAsia"/>
        </w:rPr>
        <w:t>龙政〔20</w:t>
      </w:r>
      <w:r>
        <w:rPr>
          <w:rFonts w:hint="eastAsia"/>
          <w:lang w:val="en-US" w:eastAsia="zh-CN"/>
        </w:rPr>
        <w:t>23</w:t>
      </w:r>
      <w:r>
        <w:rPr>
          <w:rFonts w:hint="eastAsia"/>
        </w:rPr>
        <w:t>〕</w:t>
      </w:r>
      <w:r>
        <w:rPr>
          <w:rFonts w:hint="eastAsia"/>
          <w:lang w:val="en-US" w:eastAsia="zh-CN"/>
        </w:rPr>
        <w:t>60</w:t>
      </w:r>
      <w:r>
        <w:rPr>
          <w:rFonts w:hint="eastAsia"/>
        </w:rPr>
        <w:t xml:space="preserve">号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签发人：</w:t>
      </w:r>
      <w:r>
        <w:rPr>
          <w:rFonts w:hint="eastAsia" w:cs="Times New Roman"/>
          <w:lang w:eastAsia="zh-CN"/>
        </w:rPr>
        <w:t>查</w:t>
      </w:r>
      <w:r>
        <w:rPr>
          <w:rFonts w:hint="eastAsia" w:cs="Times New Roman"/>
          <w:lang w:val="en-US" w:eastAsia="zh-CN"/>
        </w:rPr>
        <w:t xml:space="preserve"> </w:t>
      </w:r>
      <w:r>
        <w:rPr>
          <w:rFonts w:hint="eastAsia" w:cs="Times New Roman"/>
        </w:rPr>
        <w:t>䶮</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关于印发《龙泉镇火灾隐患大排查大整治攻坚行动方案》的通知</w:t>
      </w:r>
    </w:p>
    <w:p>
      <w:pPr>
        <w:keepNext w:val="0"/>
        <w:keepLines w:val="0"/>
        <w:pageBreakBefore w:val="0"/>
        <w:widowControl w:val="0"/>
        <w:kinsoku/>
        <w:wordWrap/>
        <w:overflowPunct/>
        <w:topLinePunct w:val="0"/>
        <w:autoSpaceDE/>
        <w:autoSpaceDN/>
        <w:bidi w:val="0"/>
        <w:adjustRightInd/>
        <w:snapToGrid/>
        <w:spacing w:line="560" w:lineRule="exact"/>
        <w:ind w:firstLine="8360" w:firstLineChars="1900"/>
        <w:jc w:val="both"/>
        <w:textAlignment w:val="auto"/>
        <w:rPr>
          <w:rFonts w:hint="eastAsia" w:ascii="方正小标宋简体" w:hAnsi="方正小标宋简体" w:eastAsia="方正小标宋简体" w:cs="方正小标宋简体"/>
          <w:b w:val="0"/>
          <w:bCs w:val="0"/>
          <w:sz w:val="44"/>
          <w:szCs w:val="44"/>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各村（社区），镇直各单位：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为确保全镇消防安全形势持续平稳，经研究制定《龙泉镇火灾隐患大排查大整治攻坚行动方案》，现印发给你们，请结合实际认真抓好贯彻落实。</w:t>
      </w: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5760" w:leftChars="1800" w:firstLine="320" w:firstLineChars="1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龙泉镇人民政府</w:t>
      </w:r>
    </w:p>
    <w:p>
      <w:pPr>
        <w:keepNext w:val="0"/>
        <w:keepLines w:val="0"/>
        <w:pageBreakBefore w:val="0"/>
        <w:widowControl w:val="0"/>
        <w:kinsoku/>
        <w:wordWrap/>
        <w:overflowPunct/>
        <w:topLinePunct w:val="0"/>
        <w:autoSpaceDE/>
        <w:autoSpaceDN/>
        <w:bidi w:val="0"/>
        <w:adjustRightInd/>
        <w:snapToGrid/>
        <w:spacing w:line="560" w:lineRule="exact"/>
        <w:ind w:firstLine="5760" w:firstLineChars="18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2023年</w:t>
      </w:r>
      <w:r>
        <w:rPr>
          <w:rFonts w:hint="eastAsia" w:ascii="仿宋_GB2312" w:hAnsi="仿宋_GB2312" w:cs="仿宋_GB2312"/>
          <w:b w:val="0"/>
          <w:bCs w:val="0"/>
          <w:sz w:val="32"/>
          <w:szCs w:val="32"/>
          <w:lang w:val="en-US" w:eastAsia="zh-CN"/>
        </w:rPr>
        <w:t>10</w:t>
      </w:r>
      <w:r>
        <w:rPr>
          <w:rFonts w:hint="eastAsia" w:ascii="仿宋_GB2312" w:hAnsi="仿宋_GB2312" w:eastAsia="仿宋_GB2312" w:cs="仿宋_GB2312"/>
          <w:b w:val="0"/>
          <w:bCs w:val="0"/>
          <w:sz w:val="32"/>
          <w:szCs w:val="32"/>
        </w:rPr>
        <w:t>月28日</w:t>
      </w: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龙泉镇火灾隐患大排查大整治攻坚行动方案</w:t>
      </w: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pStyle w:val="17"/>
        <w:keepNext w:val="0"/>
        <w:keepLines w:val="0"/>
        <w:widowControl/>
        <w:suppressLineNumbers w:val="0"/>
        <w:ind w:left="0" w:firstLine="640"/>
        <w:jc w:val="both"/>
        <w:rPr>
          <w:rFonts w:hint="eastAsia" w:ascii="仿宋_GB2312" w:hAnsi="仿宋_GB2312" w:eastAsia="仿宋_GB2312" w:cs="仿宋_GB2312"/>
          <w:b w:val="0"/>
          <w:bCs w:val="0"/>
          <w:sz w:val="32"/>
          <w:szCs w:val="32"/>
        </w:rPr>
      </w:pPr>
      <w:r>
        <w:rPr>
          <w:rFonts w:ascii="仿宋_GB2312" w:eastAsia="仿宋_GB2312" w:cs="仿宋_GB2312"/>
          <w:b w:val="0"/>
          <w:bCs w:val="0"/>
          <w:sz w:val="32"/>
          <w:szCs w:val="32"/>
        </w:rPr>
        <w:t>为确保全镇消防安全形势持续平稳，</w:t>
      </w:r>
      <w:bookmarkStart w:id="0" w:name="_GoBack"/>
      <w:bookmarkEnd w:id="0"/>
      <w:r>
        <w:rPr>
          <w:rFonts w:hint="eastAsia" w:ascii="仿宋_GB2312" w:hAnsi="仿宋_GB2312" w:eastAsia="仿宋_GB2312" w:cs="仿宋_GB2312"/>
          <w:b w:val="0"/>
          <w:bCs w:val="0"/>
          <w:sz w:val="32"/>
          <w:szCs w:val="32"/>
        </w:rPr>
        <w:t>根据《全县火灾隐患大排查大整治攻坚行动方案》（东安办〔2023〕52号）要求，镇安办研究决定自即日起至9月底，在全镇范围内组织开展火灾隐患大排查大整治攻坚行动。制定方案如下：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一、指导思想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cs="仿宋_GB2312"/>
          <w:b w:val="0"/>
          <w:bCs w:val="0"/>
          <w:sz w:val="32"/>
          <w:szCs w:val="32"/>
          <w:lang w:eastAsia="zh-CN"/>
        </w:rPr>
        <w:t>为</w:t>
      </w:r>
      <w:r>
        <w:rPr>
          <w:rFonts w:hint="eastAsia" w:ascii="仿宋_GB2312" w:hAnsi="仿宋_GB2312" w:eastAsia="仿宋_GB2312" w:cs="仿宋_GB2312"/>
          <w:b w:val="0"/>
          <w:bCs w:val="0"/>
          <w:sz w:val="32"/>
          <w:szCs w:val="32"/>
        </w:rPr>
        <w:t>全面贯彻党的二十大精神和</w:t>
      </w:r>
      <w:r>
        <w:rPr>
          <w:rFonts w:hint="eastAsia" w:ascii="仿宋_GB2312" w:hAnsi="仿宋_GB2312" w:cs="仿宋_GB2312"/>
          <w:b w:val="0"/>
          <w:bCs w:val="0"/>
          <w:sz w:val="32"/>
          <w:szCs w:val="32"/>
          <w:lang w:eastAsia="zh-CN"/>
        </w:rPr>
        <w:t>上级</w:t>
      </w:r>
      <w:r>
        <w:rPr>
          <w:rFonts w:hint="eastAsia" w:ascii="仿宋_GB2312" w:hAnsi="仿宋_GB2312" w:eastAsia="仿宋_GB2312" w:cs="仿宋_GB2312"/>
          <w:b w:val="0"/>
          <w:bCs w:val="0"/>
          <w:sz w:val="32"/>
          <w:szCs w:val="32"/>
        </w:rPr>
        <w:t>政府各项决策部署，坚持人民至上、生命至上，秉持“抓大防小、以防为主、标本兼治”的总体思路，动员全社会力量，全力坚决纠治各行业领域突出火灾风险和易直接造成人员伤亡的火灾隐患问题，全面提升单位本质消防安全水平，坚决防范遏制群死群伤和“小火亡人”事故，切实维护全镇消防安全形势稳定，持续服务保障经济社会发展大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二、组织领导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镇政府成立全镇火灾隐患大排查大整治攻坚行动领导小组（以下简称“镇领导小组”），由镇党委副书记、镇长查䶮担任组长，镇人大主席方鹏担任副组长，镇公安派出所、自然资源和规划所、市场监督管理所、民政所、中小学等为成员单位（见附件1）。镇领导小组办公室设在镇安办，由余斐豪同志兼任办公室主任，并建立联络员制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三、整治重点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紧盯医院、敬老院、寄宿制学校和幼儿园、宾馆酒店、易燃易爆危险化学品和加油加气站、商超、公共娱乐场所、仓储物流、劳动密集型企业、改建出租的“厂中厂”“园中园”、老旧场所、新领域新业态等重点场所和生产经营租住自建房、沿街门店、“三合一”等低设防区域，重点纠治违规住人、违规存放易燃易爆危险品、使用大量可燃材料装修、使用可燃夹芯彩钢板分隔搭建、违规动火动焊、封堵疏散通道安全出口、违规使用醇基燃料和瓶装液化气罐、电动自行车违规停放充电、消火栓喷淋无水等9类情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四、任务分工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生产经营住宿合用场所方面，紧盯居住区域与生产经营区域未完全分隔、外窗疏散走道安装防盗网、铁栅栏等重点风险情形，各村（社区）要落实属地管理，镇直有关单位要主动履行监管责任，5月底前，对“三合一”场所要逐一列出整改清单、倒排工期、挂表推进；对新发现的，要逐一登记造册，掌握场所地址、业主姓名、建筑层数、使用功能、容纳人数、消防状况等信息；对检查中发现的问题，各村（社区）要严格落实“八条”刚性措施（见附件2）；对住宿人员在10人及以上，要加大隐患整治力度，于6月底前完成隐患整改销案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改建出租的“厂中厂”“园中园”方面，要重点关注多业态混合使用的厂房、仓储，深刻汲取浙江武义“4.17”亡人火灾事故教训，组织排查整治“厂中厂”、“园中园”，特别是劳动密集型企业，包括厂房、仓储未经审批擅自分隔、出租，擅自改变使用性质，擅自违规搭建，以及存在的部分厂房、仓库分隔改建摄影棚、直播带货等新型隐患。对存在两种以上业态的厂房、仓库，要逐一登记造册，摸清风险底数，限期责令整改，切实做到问题闭环整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医疗服务机构方面，镇计生办、卫生院要深刻吸取北京“4.18”长峰医院火灾事故教训，组织开展行业系统内自查自纠、培训演练等工作，立即开展排查检查，切实做到底数清、情况明、隐患登记造册、问题闭环整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其他重点领域排查整治方面，按照“管行业必须管安全、管业务必须管安全、管生产经营必须管安全”的要求，分行业、分领域组织开展火灾隐患专项整治，切实在攻坚行动期间发现一批、整改一批直接造成人员伤亡的重大火灾风险隐患。</w:t>
      </w:r>
      <w:r>
        <w:rPr>
          <w:rFonts w:hint="eastAsia" w:ascii="仿宋_GB2312" w:hAnsi="仿宋_GB2312" w:eastAsia="仿宋_GB2312" w:cs="仿宋_GB2312"/>
          <w:b/>
          <w:bCs/>
          <w:sz w:val="32"/>
          <w:szCs w:val="32"/>
        </w:rPr>
        <w:t>经发、城建</w:t>
      </w:r>
      <w:r>
        <w:rPr>
          <w:rFonts w:hint="eastAsia" w:ascii="仿宋_GB2312" w:hAnsi="仿宋_GB2312" w:eastAsia="仿宋_GB2312" w:cs="仿宋_GB2312"/>
          <w:b w:val="0"/>
          <w:bCs w:val="0"/>
          <w:sz w:val="32"/>
          <w:szCs w:val="32"/>
        </w:rPr>
        <w:t>等部门要对照各自职责，严格落实行业监管责任，部署所属单位开展消防自查，组织开展行业系统核查，建立完善单位底数、隐患清单。</w:t>
      </w:r>
      <w:r>
        <w:rPr>
          <w:rFonts w:hint="eastAsia" w:ascii="仿宋_GB2312" w:hAnsi="仿宋_GB2312" w:eastAsia="仿宋_GB2312" w:cs="仿宋_GB2312"/>
          <w:b/>
          <w:bCs/>
          <w:sz w:val="32"/>
          <w:szCs w:val="32"/>
        </w:rPr>
        <w:t>城建办</w:t>
      </w:r>
      <w:r>
        <w:rPr>
          <w:rFonts w:hint="eastAsia" w:ascii="仿宋_GB2312" w:hAnsi="仿宋_GB2312" w:eastAsia="仿宋_GB2312" w:cs="仿宋_GB2312"/>
          <w:b w:val="0"/>
          <w:bCs w:val="0"/>
          <w:sz w:val="32"/>
          <w:szCs w:val="32"/>
        </w:rPr>
        <w:t>要按照省住建厅《关于进一步做好住房城乡建设系统安全生产防范工作的通知》（建安函〔2023〕3号）要求，对老旧小区、城中村、棚户区等开展安全隐患大排查大整治，及时排查处置房屋建筑、消防、电瓶车充电等安全隐患，</w:t>
      </w:r>
      <w:r>
        <w:rPr>
          <w:rFonts w:hint="eastAsia" w:ascii="仿宋_GB2312" w:hAnsi="仿宋_GB2312" w:eastAsia="仿宋_GB2312" w:cs="仿宋_GB2312"/>
          <w:b/>
          <w:bCs/>
          <w:sz w:val="32"/>
          <w:szCs w:val="32"/>
        </w:rPr>
        <w:t>镇安办</w:t>
      </w:r>
      <w:r>
        <w:rPr>
          <w:rFonts w:hint="eastAsia" w:ascii="仿宋_GB2312" w:hAnsi="仿宋_GB2312" w:eastAsia="仿宋_GB2312" w:cs="仿宋_GB2312"/>
          <w:b w:val="0"/>
          <w:bCs w:val="0"/>
          <w:sz w:val="32"/>
          <w:szCs w:val="32"/>
        </w:rPr>
        <w:t>主动参与、主动对接、共同落实。动火焊割方面，各有关单位要严管严控特殊工种人员持证上岗，事前办理动火审批手续、清理周围可燃物和现场监护，禁止营业期间动火，严禁转包给无资质的废品收购人员拆旧利旧。各行业监管单位要结合行业核查，督促提示单位落实动火审批手续、规范动火操作规程，及时履行报备手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五、工作步骤</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楷体" w:hAnsi="楷体" w:eastAsia="楷体" w:cs="楷体"/>
          <w:b/>
          <w:bCs/>
          <w:sz w:val="32"/>
          <w:szCs w:val="32"/>
        </w:rPr>
        <w:t>（一）部署发动（</w:t>
      </w:r>
      <w:r>
        <w:rPr>
          <w:rFonts w:hint="eastAsia" w:ascii="楷体" w:hAnsi="楷体" w:eastAsia="楷体" w:cs="楷体"/>
          <w:b/>
          <w:bCs/>
          <w:sz w:val="32"/>
          <w:szCs w:val="32"/>
          <w:lang w:val="en-US" w:eastAsia="zh-CN"/>
        </w:rPr>
        <w:t>10</w:t>
      </w:r>
      <w:r>
        <w:rPr>
          <w:rFonts w:hint="eastAsia" w:ascii="楷体" w:hAnsi="楷体" w:eastAsia="楷体" w:cs="楷体"/>
          <w:b/>
          <w:bCs/>
          <w:sz w:val="32"/>
          <w:szCs w:val="32"/>
        </w:rPr>
        <w:t>月28日前）。</w:t>
      </w:r>
      <w:r>
        <w:rPr>
          <w:rFonts w:hint="eastAsia" w:ascii="仿宋_GB2312" w:hAnsi="仿宋_GB2312" w:eastAsia="仿宋_GB2312" w:cs="仿宋_GB2312"/>
          <w:b w:val="0"/>
          <w:bCs w:val="0"/>
          <w:sz w:val="32"/>
          <w:szCs w:val="32"/>
        </w:rPr>
        <w:t>各村（社区）、镇直单位要精准评估本地区、本行业消防安全风险，找出不放心区域、薄弱环节和最突出问题，因地制宜制定攻坚行动实施方案，细化工作要求和措施，结合“五一”小长假消防安全防范工作召开会议专题动员部署。</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楷体" w:hAnsi="楷体" w:eastAsia="楷体" w:cs="楷体"/>
          <w:b/>
          <w:bCs/>
          <w:sz w:val="32"/>
          <w:szCs w:val="32"/>
        </w:rPr>
        <w:t>（二）组织实施（</w:t>
      </w:r>
      <w:r>
        <w:rPr>
          <w:rFonts w:hint="eastAsia" w:ascii="楷体" w:hAnsi="楷体" w:eastAsia="楷体" w:cs="楷体"/>
          <w:b/>
          <w:bCs/>
          <w:sz w:val="32"/>
          <w:szCs w:val="32"/>
          <w:lang w:val="en-US" w:eastAsia="zh-CN"/>
        </w:rPr>
        <w:t>10</w:t>
      </w:r>
      <w:r>
        <w:rPr>
          <w:rFonts w:hint="eastAsia" w:ascii="楷体" w:hAnsi="楷体" w:eastAsia="楷体" w:cs="楷体"/>
          <w:b/>
          <w:bCs/>
          <w:sz w:val="32"/>
          <w:szCs w:val="32"/>
        </w:rPr>
        <w:t>月28日至</w:t>
      </w:r>
      <w:r>
        <w:rPr>
          <w:rFonts w:hint="eastAsia" w:ascii="楷体" w:hAnsi="楷体" w:eastAsia="楷体" w:cs="楷体"/>
          <w:b/>
          <w:bCs/>
          <w:sz w:val="32"/>
          <w:szCs w:val="32"/>
          <w:lang w:val="en-US" w:eastAsia="zh-CN"/>
        </w:rPr>
        <w:t>11</w:t>
      </w:r>
      <w:r>
        <w:rPr>
          <w:rFonts w:hint="eastAsia" w:ascii="楷体" w:hAnsi="楷体" w:eastAsia="楷体" w:cs="楷体"/>
          <w:b/>
          <w:bCs/>
          <w:sz w:val="32"/>
          <w:szCs w:val="32"/>
        </w:rPr>
        <w:t>月20日）。</w:t>
      </w:r>
      <w:r>
        <w:rPr>
          <w:rFonts w:hint="eastAsia" w:ascii="仿宋_GB2312" w:hAnsi="仿宋_GB2312" w:eastAsia="仿宋_GB2312" w:cs="仿宋_GB2312"/>
          <w:b w:val="0"/>
          <w:bCs w:val="0"/>
          <w:sz w:val="32"/>
          <w:szCs w:val="32"/>
        </w:rPr>
        <w:t>各村（社区）、镇直单位按照职责分工，分行业、分领域全面开展火灾隐患排查整治，逐家排查、建立台账、列出清单、督促整改，形成闭环管理。节前，各单位负责同志要带队开展消防安全检查。</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楷体" w:hAnsi="楷体" w:eastAsia="楷体" w:cs="楷体"/>
          <w:b/>
          <w:bCs/>
          <w:sz w:val="32"/>
          <w:szCs w:val="32"/>
        </w:rPr>
        <w:t>（三）总结验收（</w:t>
      </w:r>
      <w:r>
        <w:rPr>
          <w:rFonts w:hint="eastAsia" w:ascii="楷体" w:hAnsi="楷体" w:eastAsia="楷体" w:cs="楷体"/>
          <w:b/>
          <w:bCs/>
          <w:sz w:val="32"/>
          <w:szCs w:val="32"/>
          <w:lang w:val="en-US" w:eastAsia="zh-CN"/>
        </w:rPr>
        <w:t>11</w:t>
      </w:r>
      <w:r>
        <w:rPr>
          <w:rFonts w:hint="eastAsia" w:ascii="楷体" w:hAnsi="楷体" w:eastAsia="楷体" w:cs="楷体"/>
          <w:b/>
          <w:bCs/>
          <w:sz w:val="32"/>
          <w:szCs w:val="32"/>
        </w:rPr>
        <w:t>月21日至</w:t>
      </w:r>
      <w:r>
        <w:rPr>
          <w:rFonts w:hint="eastAsia" w:ascii="楷体" w:hAnsi="楷体" w:eastAsia="楷体" w:cs="楷体"/>
          <w:b/>
          <w:bCs/>
          <w:sz w:val="32"/>
          <w:szCs w:val="32"/>
          <w:lang w:val="en-US" w:eastAsia="zh-CN"/>
        </w:rPr>
        <w:t>12</w:t>
      </w:r>
      <w:r>
        <w:rPr>
          <w:rFonts w:hint="eastAsia" w:ascii="楷体" w:hAnsi="楷体" w:eastAsia="楷体" w:cs="楷体"/>
          <w:b/>
          <w:bCs/>
          <w:sz w:val="32"/>
          <w:szCs w:val="32"/>
        </w:rPr>
        <w:t>月</w:t>
      </w:r>
      <w:r>
        <w:rPr>
          <w:rFonts w:hint="eastAsia" w:ascii="楷体" w:hAnsi="楷体" w:eastAsia="楷体" w:cs="楷体"/>
          <w:b/>
          <w:bCs/>
          <w:sz w:val="32"/>
          <w:szCs w:val="32"/>
          <w:lang w:val="en-US" w:eastAsia="zh-CN"/>
        </w:rPr>
        <w:t>1</w:t>
      </w:r>
      <w:r>
        <w:rPr>
          <w:rFonts w:hint="eastAsia" w:ascii="楷体" w:hAnsi="楷体" w:eastAsia="楷体" w:cs="楷体"/>
          <w:b/>
          <w:bCs/>
          <w:sz w:val="32"/>
          <w:szCs w:val="32"/>
        </w:rPr>
        <w:t>日）。</w:t>
      </w:r>
      <w:r>
        <w:rPr>
          <w:rFonts w:hint="eastAsia" w:ascii="仿宋_GB2312" w:hAnsi="仿宋_GB2312" w:eastAsia="仿宋_GB2312" w:cs="仿宋_GB2312"/>
          <w:b w:val="0"/>
          <w:bCs w:val="0"/>
          <w:sz w:val="32"/>
          <w:szCs w:val="32"/>
        </w:rPr>
        <w:t>各村（社区）、镇直单位要认真总结工作，分析存在问题，固化经验做法。镇安办要组织检查验收，提出改进措施，谋划下步工作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六、工作要求</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楷体" w:hAnsi="楷体" w:eastAsia="楷体" w:cs="楷体"/>
          <w:b/>
          <w:bCs/>
          <w:sz w:val="32"/>
          <w:szCs w:val="32"/>
        </w:rPr>
        <w:t>（一）强化领导，加强调度。</w:t>
      </w:r>
      <w:r>
        <w:rPr>
          <w:rFonts w:hint="eastAsia" w:ascii="仿宋_GB2312" w:hAnsi="仿宋_GB2312" w:eastAsia="仿宋_GB2312" w:cs="仿宋_GB2312"/>
          <w:b w:val="0"/>
          <w:bCs w:val="0"/>
          <w:sz w:val="32"/>
          <w:szCs w:val="32"/>
        </w:rPr>
        <w:t>各村（社区）、镇直单位要进一步树牢安全发展理念，强化风险意识，坚持底线思维，精心组织实施，从严从细从实抓好责任措施落实。要健全完善每月带队检查督导、每季度定期研判消防形势等工作机制。各成员单位要将消防安全工作与本部门业务工作同部署、同检查、同考评，加大消防安全检查指导力度。镇安办将加强工作统筹推进、组织协调和督促指导，推动消防责任落实落细。</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楷体" w:hAnsi="楷体" w:eastAsia="楷体" w:cs="楷体"/>
          <w:b/>
          <w:bCs/>
          <w:sz w:val="32"/>
          <w:szCs w:val="32"/>
        </w:rPr>
        <w:t>（二）分工协作，形成合力。</w:t>
      </w:r>
      <w:r>
        <w:rPr>
          <w:rFonts w:hint="eastAsia" w:ascii="仿宋_GB2312" w:hAnsi="仿宋_GB2312" w:eastAsia="仿宋_GB2312" w:cs="仿宋_GB2312"/>
          <w:b w:val="0"/>
          <w:bCs w:val="0"/>
          <w:sz w:val="32"/>
          <w:szCs w:val="32"/>
        </w:rPr>
        <w:t>各村（社区）、镇直单位要按照《安徽省消防条例》《安徽省消防安全责任制规定》等明确的消防安全职责，各尽其职，各负其责，加强对重点场所的火灾隐患排查整治。各成员单位之间要建立健全定期会商、情况通报、联合查处、案件移送等机制，形成消防安全监管合力。</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楷体" w:hAnsi="楷体" w:eastAsia="楷体" w:cs="楷体"/>
          <w:b/>
          <w:bCs/>
          <w:sz w:val="32"/>
          <w:szCs w:val="32"/>
        </w:rPr>
        <w:t>（三）强化督导，落实</w:t>
      </w:r>
      <w:r>
        <w:rPr>
          <w:rFonts w:hint="eastAsia" w:ascii="楷体" w:hAnsi="楷体" w:eastAsia="楷体" w:cs="楷体"/>
          <w:b/>
          <w:bCs/>
          <w:sz w:val="32"/>
          <w:szCs w:val="32"/>
          <w:lang w:eastAsia="zh-CN"/>
        </w:rPr>
        <w:t>检查</w:t>
      </w:r>
      <w:r>
        <w:rPr>
          <w:rFonts w:hint="eastAsia" w:ascii="楷体" w:hAnsi="楷体" w:eastAsia="楷体" w:cs="楷体"/>
          <w:b/>
          <w:bCs/>
          <w:sz w:val="32"/>
          <w:szCs w:val="32"/>
        </w:rPr>
        <w:t>。</w:t>
      </w:r>
      <w:r>
        <w:rPr>
          <w:rFonts w:hint="eastAsia" w:ascii="仿宋_GB2312" w:hAnsi="仿宋_GB2312" w:eastAsia="仿宋_GB2312" w:cs="仿宋_GB2312"/>
          <w:b w:val="0"/>
          <w:bCs w:val="0"/>
          <w:sz w:val="32"/>
          <w:szCs w:val="32"/>
        </w:rPr>
        <w:t>攻坚行动列入年度安全生产和消防工作考核内容。坚持事前预防、事中管控和事后追究相结合的方式，对履职不力、工作不落实的，要常态化用好通报、挂牌、督办、警示、约谈等相关制度；对公共消防设施建设缓慢、重大火灾隐患整改不力、消防安全屡出问题的地方，将逐级上报、限期整改；对发生较大以上及有影响的火灾事故的，将组织约谈，并严格按照有关法律法规规定，实施责任追究。</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楷体" w:hAnsi="楷体" w:eastAsia="楷体" w:cs="楷体"/>
          <w:b/>
          <w:bCs/>
          <w:sz w:val="32"/>
          <w:szCs w:val="32"/>
        </w:rPr>
        <w:t>（四）广泛宣传，提升意识。</w:t>
      </w:r>
      <w:r>
        <w:rPr>
          <w:rFonts w:hint="eastAsia" w:ascii="仿宋_GB2312" w:hAnsi="仿宋_GB2312" w:eastAsia="仿宋_GB2312" w:cs="仿宋_GB2312"/>
          <w:b w:val="0"/>
          <w:bCs w:val="0"/>
          <w:sz w:val="32"/>
          <w:szCs w:val="32"/>
        </w:rPr>
        <w:t>各村（社区）、镇直单位要广泛开展消防宣传提示，提高全社会消防安全意识。要积极宣传攻坚行动经验做法及典型事例，及时曝光专项整治中发现的问题隐患，强化震慑警示和教育引导作用，营造全镇关注消防安全、参与消防安全的良好氛围。</w:t>
      </w: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附件：1.龙泉镇火灾隐患大排查大整治攻坚行动领导小组成员名单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2.生产经营住宿合用场所消防安全管控八项措施</w:t>
      </w: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附件1</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龙泉镇火灾隐患大排查大整治攻坚行动</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领导小组成员名单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组  长：查  䶮    党委副书记、镇长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副组长：方  鹏    人大主席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成  员：</w:t>
      </w:r>
      <w:r>
        <w:rPr>
          <w:rFonts w:hint="eastAsia" w:ascii="仿宋_GB2312" w:hAnsi="仿宋_GB2312" w:cs="仿宋_GB2312"/>
          <w:b w:val="0"/>
          <w:bCs w:val="0"/>
          <w:sz w:val="32"/>
          <w:szCs w:val="32"/>
          <w:lang w:eastAsia="zh-CN"/>
        </w:rPr>
        <w:t>孙明龙</w:t>
      </w:r>
      <w:r>
        <w:rPr>
          <w:rFonts w:hint="eastAsia" w:ascii="仿宋_GB2312" w:hAnsi="仿宋_GB2312" w:eastAsia="仿宋_GB2312" w:cs="仿宋_GB2312"/>
          <w:b w:val="0"/>
          <w:bCs w:val="0"/>
          <w:sz w:val="32"/>
          <w:szCs w:val="32"/>
        </w:rPr>
        <w:t xml:space="preserve">    公安派出所所长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王  鹏   </w:t>
      </w:r>
      <w:r>
        <w:rPr>
          <w:rFonts w:hint="eastAsia" w:ascii="仿宋_GB2312" w:hAnsi="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自然资源和规划所所长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汪  翔    市场监督管理所所长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徐光明    供电所所长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徐拥军    中心学校校长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曹志星    龙泉中学校长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孙时林    城建办主任</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许世友    民政所所长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金希平    经发办主任</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各村（社区）党支部书记、主任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镇领导小组办公室设在镇安办，由镇安全办主任余斐豪兼任办公室主任。</w:t>
      </w: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附件2</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生产经营住宿合用场所消防安全管控八项措施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一是</w:t>
      </w:r>
      <w:r>
        <w:rPr>
          <w:rFonts w:hint="eastAsia" w:ascii="仿宋_GB2312" w:hAnsi="仿宋_GB2312" w:eastAsia="仿宋_GB2312" w:cs="仿宋_GB2312"/>
          <w:b w:val="0"/>
          <w:bCs w:val="0"/>
          <w:sz w:val="32"/>
          <w:szCs w:val="32"/>
        </w:rPr>
        <w:t>使用易燃可燃夹芯彩钢板或易燃材料搭建的临时房屋或屋顶、围护结构、房间隔墙使用易燃可燃夹芯彩钢板或易燃材料搭建的，一律立即拆除。</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二是</w:t>
      </w:r>
      <w:r>
        <w:rPr>
          <w:rFonts w:hint="eastAsia" w:ascii="仿宋_GB2312" w:hAnsi="仿宋_GB2312" w:eastAsia="仿宋_GB2312" w:cs="仿宋_GB2312"/>
          <w:b w:val="0"/>
          <w:bCs w:val="0"/>
          <w:sz w:val="32"/>
          <w:szCs w:val="32"/>
        </w:rPr>
        <w:t>门窗上设置金属栅栏、防盗网以及灯箱广告牌等影响逃生和灭火救援障碍物的，一律拆除或设置易于从房间内部开启的装置。</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三是</w:t>
      </w:r>
      <w:r>
        <w:rPr>
          <w:rFonts w:hint="eastAsia" w:ascii="仿宋_GB2312" w:hAnsi="仿宋_GB2312" w:eastAsia="仿宋_GB2312" w:cs="仿宋_GB2312"/>
          <w:b w:val="0"/>
          <w:bCs w:val="0"/>
          <w:sz w:val="32"/>
          <w:szCs w:val="32"/>
        </w:rPr>
        <w:t>3人以上住宿与生产、经营、储存场所设置在同一建筑物或“前店后宅”“下店上宅”未进行防火分隔的，一律按规定进行防火分隔。</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四是</w:t>
      </w:r>
      <w:r>
        <w:rPr>
          <w:rFonts w:hint="eastAsia" w:ascii="仿宋_GB2312" w:hAnsi="仿宋_GB2312" w:eastAsia="仿宋_GB2312" w:cs="仿宋_GB2312"/>
          <w:b w:val="0"/>
          <w:bCs w:val="0"/>
          <w:sz w:val="32"/>
          <w:szCs w:val="32"/>
        </w:rPr>
        <w:t>一律不得在用于居住的自建房内设置冷库或生产、储存、经营易燃易爆危险品。</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五是</w:t>
      </w:r>
      <w:r>
        <w:rPr>
          <w:rFonts w:hint="eastAsia" w:ascii="仿宋_GB2312" w:hAnsi="仿宋_GB2312" w:eastAsia="仿宋_GB2312" w:cs="仿宋_GB2312"/>
          <w:b w:val="0"/>
          <w:bCs w:val="0"/>
          <w:sz w:val="32"/>
          <w:szCs w:val="32"/>
        </w:rPr>
        <w:t>不符合消防安全条件违规住人的，一律责令限期搬离。</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六是</w:t>
      </w:r>
      <w:r>
        <w:rPr>
          <w:rFonts w:hint="eastAsia" w:ascii="仿宋_GB2312" w:hAnsi="仿宋_GB2312" w:eastAsia="仿宋_GB2312" w:cs="仿宋_GB2312"/>
          <w:b w:val="0"/>
          <w:bCs w:val="0"/>
          <w:sz w:val="32"/>
          <w:szCs w:val="32"/>
        </w:rPr>
        <w:t>在门厅、楼梯间、走道、地下室、半地下室等室内公共区域电动自行车在违规停放充电的，以及违章用火、用电、用气、私拉乱接电气线路的，责令立即改正，拒不改正的，一律依法予以处罚，并督促整改到位。</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七是</w:t>
      </w:r>
      <w:r>
        <w:rPr>
          <w:rFonts w:hint="eastAsia" w:ascii="仿宋_GB2312" w:hAnsi="仿宋_GB2312" w:eastAsia="仿宋_GB2312" w:cs="仿宋_GB2312"/>
          <w:b w:val="0"/>
          <w:bCs w:val="0"/>
          <w:sz w:val="32"/>
          <w:szCs w:val="32"/>
        </w:rPr>
        <w:t>每层面积超过200平方米或建筑层数超过四层或住宿人员超过10人的，一律设置2个安全出口、2部逃生楼梯。</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八是</w:t>
      </w:r>
      <w:r>
        <w:rPr>
          <w:rFonts w:hint="eastAsia" w:ascii="仿宋_GB2312" w:hAnsi="仿宋_GB2312" w:eastAsia="仿宋_GB2312" w:cs="仿宋_GB2312"/>
          <w:b w:val="0"/>
          <w:bCs w:val="0"/>
          <w:sz w:val="32"/>
          <w:szCs w:val="32"/>
        </w:rPr>
        <w:t>对存在重大火灾风险和重大隐患的，一律依法予以临时查封、挂牌督改。</w:t>
      </w:r>
    </w:p>
    <w:p>
      <w:pPr>
        <w:ind w:firstLine="5120" w:firstLineChars="1600"/>
        <w:jc w:val="both"/>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pStyle w:val="2"/>
        <w:rPr>
          <w:rFonts w:hint="eastAsia"/>
        </w:rPr>
        <w:sectPr>
          <w:footerReference r:id="rId3" w:type="default"/>
          <w:pgSz w:w="11906" w:h="16838"/>
          <w:pgMar w:top="1701" w:right="1474" w:bottom="1191" w:left="1587" w:header="851" w:footer="992" w:gutter="0"/>
          <w:cols w:space="0" w:num="1"/>
          <w:rtlGutter w:val="0"/>
          <w:docGrid w:type="lines" w:linePitch="442" w:charSpace="0"/>
        </w:sectPr>
      </w:pPr>
    </w:p>
    <w:p>
      <w:pPr>
        <w:keepNext w:val="0"/>
        <w:keepLines w:val="0"/>
        <w:pageBreakBefore w:val="0"/>
        <w:widowControl/>
        <w:kinsoku/>
        <w:wordWrap/>
        <w:overflowPunct/>
        <w:topLinePunct w:val="0"/>
        <w:autoSpaceDE/>
        <w:autoSpaceDN/>
        <w:bidi w:val="0"/>
        <w:adjustRightInd/>
        <w:snapToGrid/>
        <w:spacing w:line="560" w:lineRule="exact"/>
        <w:ind w:firstLine="480" w:firstLineChars="150"/>
        <w:textAlignment w:val="auto"/>
        <w:rPr>
          <w:rFonts w:hint="eastAsia" w:ascii="仿宋_GB2312" w:hAnsi="仿宋_GB2312" w:eastAsia="仿宋_GB2312" w:cs="仿宋_GB2312"/>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黑体" w:hAnsi="黑体" w:eastAsia="黑体" w:cs="黑体"/>
          <w:sz w:val="28"/>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line="560" w:lineRule="exact"/>
        <w:textAlignment w:val="auto"/>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lang w:val="en-US" w:eastAsia="zh-CN" w:bidi="ar"/>
        </w:rPr>
      </w:pPr>
    </w:p>
    <w:p>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1920" w:firstLineChars="600"/>
        <w:jc w:val="left"/>
        <w:textAlignment w:val="auto"/>
        <w:rPr>
          <w:rFonts w:hint="eastAsia" w:ascii="仿宋_GB2312" w:hAnsi="仿宋_GB2312" w:eastAsia="仿宋_GB2312" w:cs="仿宋_GB2312"/>
          <w:kern w:val="2"/>
          <w:sz w:val="32"/>
          <w:szCs w:val="32"/>
          <w:lang w:val="en-US" w:eastAsia="zh-CN" w:bidi="ar-SA"/>
        </w:rPr>
      </w:pPr>
    </w:p>
    <w:p>
      <w:pPr>
        <w:keepNext w:val="0"/>
        <w:keepLines w:val="0"/>
        <w:pageBreakBefore w:val="0"/>
        <w:kinsoku/>
        <w:wordWrap/>
        <w:overflowPunct/>
        <w:topLinePunct w:val="0"/>
        <w:autoSpaceDE/>
        <w:autoSpaceDN/>
        <w:bidi w:val="0"/>
        <w:adjustRightInd/>
        <w:snapToGrid/>
        <w:spacing w:line="560" w:lineRule="exact"/>
        <w:ind w:firstLine="640" w:firstLineChars="200"/>
        <w:jc w:val="center"/>
        <w:textAlignment w:val="auto"/>
        <w:rPr>
          <w:rFonts w:hint="default" w:ascii="仿宋_GB2312"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120" w:firstLineChars="1600"/>
        <w:jc w:val="left"/>
        <w:textAlignment w:val="auto"/>
        <w:rPr>
          <w:rFonts w:hint="default"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textAlignment w:val="auto"/>
        <w:rPr>
          <w:rFonts w:hint="eastAsia" w:ascii="仿宋_GB2312" w:hAnsi="仿宋_GB2312" w:eastAsia="仿宋_GB2312" w:cs="仿宋_GB2312"/>
          <w:sz w:val="32"/>
          <w:szCs w:val="40"/>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40"/>
        </w:rPr>
      </w:pPr>
    </w:p>
    <w:p>
      <w:pPr>
        <w:tabs>
          <w:tab w:val="left" w:pos="0"/>
          <w:tab w:val="left" w:pos="5055"/>
          <w:tab w:val="left" w:pos="7200"/>
        </w:tabs>
        <w:spacing w:line="560" w:lineRule="exact"/>
        <w:rPr>
          <w:rFonts w:hint="eastAsia" w:ascii="仿宋_GB2312"/>
          <w:szCs w:val="32"/>
        </w:rPr>
      </w:pPr>
    </w:p>
    <w:p>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sectPr>
      <w:pgSz w:w="16838" w:h="11906" w:orient="landscape"/>
      <w:pgMar w:top="1587" w:right="1701" w:bottom="1474" w:left="1191" w:header="851" w:footer="992" w:gutter="0"/>
      <w:cols w:space="0" w:num="1"/>
      <w:rtlGutter w:val="0"/>
      <w:docGrid w:type="lines" w:linePitch="44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591"/>
      <w:rPr>
        <w:rFonts w:ascii="Calibri" w:hAnsi="Calibri" w:eastAsia="Calibri" w:cs="Calibri"/>
        <w:sz w:val="17"/>
        <w:szCs w:val="17"/>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0E4CBF"/>
    <w:multiLevelType w:val="singleLevel"/>
    <w:tmpl w:val="B60E4CBF"/>
    <w:lvl w:ilvl="0" w:tentative="0">
      <w:start w:val="1"/>
      <w:numFmt w:val="bullet"/>
      <w:pStyle w:val="7"/>
      <w:lvlText w:val=""/>
      <w:lvlJc w:val="left"/>
      <w:pPr>
        <w:tabs>
          <w:tab w:val="left" w:pos="2040"/>
        </w:tabs>
        <w:ind w:left="2040" w:hanging="360"/>
      </w:pPr>
      <w:rPr>
        <w:rFonts w:hint="default" w:ascii="Wingdings" w:hAnsi="Wingdings"/>
      </w:rPr>
    </w:lvl>
  </w:abstractNum>
  <w:abstractNum w:abstractNumId="1">
    <w:nsid w:val="372022C4"/>
    <w:multiLevelType w:val="singleLevel"/>
    <w:tmpl w:val="372022C4"/>
    <w:lvl w:ilvl="0" w:tentative="0">
      <w:start w:val="1"/>
      <w:numFmt w:val="decimal"/>
      <w:pStyle w:val="11"/>
      <w:lvlText w:val="%1."/>
      <w:lvlJc w:val="left"/>
      <w:pPr>
        <w:tabs>
          <w:tab w:val="left" w:pos="2040"/>
        </w:tabs>
        <w:ind w:left="204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forms" w:enforcement="0"/>
  <w:defaultTabStop w:val="420"/>
  <w:drawingGridHorizontalSpacing w:val="160"/>
  <w:drawingGridVerticalSpacing w:val="221"/>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5YzYzZGVlZTAzZWYyNGE3NzhiZDAxM2Y4ZjkzZGMifQ=="/>
    <w:docVar w:name="KSO_WPS_MARK_KEY" w:val="5f31cc06-fa0d-4f25-b753-84af03c021d5"/>
  </w:docVars>
  <w:rsids>
    <w:rsidRoot w:val="005B7C6F"/>
    <w:rsid w:val="000147B4"/>
    <w:rsid w:val="00040EED"/>
    <w:rsid w:val="00046AFC"/>
    <w:rsid w:val="00097CEE"/>
    <w:rsid w:val="000B285C"/>
    <w:rsid w:val="000C194B"/>
    <w:rsid w:val="000E1256"/>
    <w:rsid w:val="00173779"/>
    <w:rsid w:val="001A2F22"/>
    <w:rsid w:val="001B3930"/>
    <w:rsid w:val="001E422F"/>
    <w:rsid w:val="00202227"/>
    <w:rsid w:val="00203913"/>
    <w:rsid w:val="002117E4"/>
    <w:rsid w:val="00221BEF"/>
    <w:rsid w:val="002500E5"/>
    <w:rsid w:val="002A3910"/>
    <w:rsid w:val="002A4A69"/>
    <w:rsid w:val="00310E37"/>
    <w:rsid w:val="00362AF0"/>
    <w:rsid w:val="004632FC"/>
    <w:rsid w:val="004B14DD"/>
    <w:rsid w:val="004E6294"/>
    <w:rsid w:val="005838D4"/>
    <w:rsid w:val="005B7C6F"/>
    <w:rsid w:val="005D5B6A"/>
    <w:rsid w:val="006056FC"/>
    <w:rsid w:val="00630272"/>
    <w:rsid w:val="00642E64"/>
    <w:rsid w:val="00667DFC"/>
    <w:rsid w:val="006B6E0B"/>
    <w:rsid w:val="006D0DC8"/>
    <w:rsid w:val="00703E23"/>
    <w:rsid w:val="00746B7C"/>
    <w:rsid w:val="007642EA"/>
    <w:rsid w:val="007A0367"/>
    <w:rsid w:val="007B191F"/>
    <w:rsid w:val="00870560"/>
    <w:rsid w:val="008841D6"/>
    <w:rsid w:val="00897CCB"/>
    <w:rsid w:val="008B4D47"/>
    <w:rsid w:val="009340A5"/>
    <w:rsid w:val="00947342"/>
    <w:rsid w:val="00971250"/>
    <w:rsid w:val="00991694"/>
    <w:rsid w:val="00A509C3"/>
    <w:rsid w:val="00A51C21"/>
    <w:rsid w:val="00A63A6A"/>
    <w:rsid w:val="00A66252"/>
    <w:rsid w:val="00A74536"/>
    <w:rsid w:val="00AF373C"/>
    <w:rsid w:val="00B53664"/>
    <w:rsid w:val="00B57863"/>
    <w:rsid w:val="00B740BD"/>
    <w:rsid w:val="00B85491"/>
    <w:rsid w:val="00BC5C22"/>
    <w:rsid w:val="00C92925"/>
    <w:rsid w:val="00CB45D2"/>
    <w:rsid w:val="00CC4E23"/>
    <w:rsid w:val="00CD6DEA"/>
    <w:rsid w:val="00D23038"/>
    <w:rsid w:val="00D72F38"/>
    <w:rsid w:val="00D74A53"/>
    <w:rsid w:val="00DA1AAC"/>
    <w:rsid w:val="00DB0A1A"/>
    <w:rsid w:val="00E05B8B"/>
    <w:rsid w:val="00E12B57"/>
    <w:rsid w:val="00E7546D"/>
    <w:rsid w:val="00E9284D"/>
    <w:rsid w:val="00F13DC7"/>
    <w:rsid w:val="00F75F0B"/>
    <w:rsid w:val="033D0BA5"/>
    <w:rsid w:val="04457C40"/>
    <w:rsid w:val="04A74BC5"/>
    <w:rsid w:val="04D8142C"/>
    <w:rsid w:val="060728EA"/>
    <w:rsid w:val="06490009"/>
    <w:rsid w:val="070B23DB"/>
    <w:rsid w:val="0742567B"/>
    <w:rsid w:val="087B2AF2"/>
    <w:rsid w:val="097053A7"/>
    <w:rsid w:val="09AB3942"/>
    <w:rsid w:val="0A23505A"/>
    <w:rsid w:val="0B3207E2"/>
    <w:rsid w:val="0B370AA3"/>
    <w:rsid w:val="0C297965"/>
    <w:rsid w:val="0E2C7FA0"/>
    <w:rsid w:val="0EB30B14"/>
    <w:rsid w:val="0EC02FCB"/>
    <w:rsid w:val="10865E30"/>
    <w:rsid w:val="11D87754"/>
    <w:rsid w:val="11DE2012"/>
    <w:rsid w:val="12C92942"/>
    <w:rsid w:val="135F0966"/>
    <w:rsid w:val="13AD0D37"/>
    <w:rsid w:val="13DB5B12"/>
    <w:rsid w:val="14574F95"/>
    <w:rsid w:val="14FC1ECC"/>
    <w:rsid w:val="1515048F"/>
    <w:rsid w:val="1534363E"/>
    <w:rsid w:val="157116AD"/>
    <w:rsid w:val="17B02EEF"/>
    <w:rsid w:val="190C1AD8"/>
    <w:rsid w:val="191332BC"/>
    <w:rsid w:val="19866804"/>
    <w:rsid w:val="1AA04D32"/>
    <w:rsid w:val="1CFC5C3C"/>
    <w:rsid w:val="1CFF6103"/>
    <w:rsid w:val="1D593D00"/>
    <w:rsid w:val="1D6A0E9B"/>
    <w:rsid w:val="1DC90629"/>
    <w:rsid w:val="1DCE3F4A"/>
    <w:rsid w:val="1E6D3446"/>
    <w:rsid w:val="1F007577"/>
    <w:rsid w:val="1FBF453A"/>
    <w:rsid w:val="20391836"/>
    <w:rsid w:val="207214DB"/>
    <w:rsid w:val="207251C7"/>
    <w:rsid w:val="21334294"/>
    <w:rsid w:val="2148274F"/>
    <w:rsid w:val="21942764"/>
    <w:rsid w:val="21D452BF"/>
    <w:rsid w:val="22135719"/>
    <w:rsid w:val="22A751ED"/>
    <w:rsid w:val="24AF4B7D"/>
    <w:rsid w:val="24B91EA0"/>
    <w:rsid w:val="256E5919"/>
    <w:rsid w:val="27427F4E"/>
    <w:rsid w:val="28D25F51"/>
    <w:rsid w:val="2A147D10"/>
    <w:rsid w:val="2B2E41A3"/>
    <w:rsid w:val="2B657BE5"/>
    <w:rsid w:val="2BD85E26"/>
    <w:rsid w:val="2BE231EC"/>
    <w:rsid w:val="2D0C0578"/>
    <w:rsid w:val="2D5E6B2F"/>
    <w:rsid w:val="2E2C6472"/>
    <w:rsid w:val="2E57753D"/>
    <w:rsid w:val="2E847266"/>
    <w:rsid w:val="2EC30FD3"/>
    <w:rsid w:val="2F696523"/>
    <w:rsid w:val="2F6E1F6A"/>
    <w:rsid w:val="2F7812C3"/>
    <w:rsid w:val="2FB53144"/>
    <w:rsid w:val="2FF22E0D"/>
    <w:rsid w:val="30892330"/>
    <w:rsid w:val="30C3311F"/>
    <w:rsid w:val="312D3339"/>
    <w:rsid w:val="32065064"/>
    <w:rsid w:val="32126804"/>
    <w:rsid w:val="325F529A"/>
    <w:rsid w:val="32A26C11"/>
    <w:rsid w:val="340547BA"/>
    <w:rsid w:val="344F4CC3"/>
    <w:rsid w:val="34D20DAC"/>
    <w:rsid w:val="350F58C0"/>
    <w:rsid w:val="355A0639"/>
    <w:rsid w:val="364B225E"/>
    <w:rsid w:val="3692757B"/>
    <w:rsid w:val="36942CC2"/>
    <w:rsid w:val="37330467"/>
    <w:rsid w:val="380F6ED3"/>
    <w:rsid w:val="382C6684"/>
    <w:rsid w:val="385D7676"/>
    <w:rsid w:val="3885139A"/>
    <w:rsid w:val="39805F3F"/>
    <w:rsid w:val="39DF7D28"/>
    <w:rsid w:val="39F63B59"/>
    <w:rsid w:val="3A403188"/>
    <w:rsid w:val="3B1F2453"/>
    <w:rsid w:val="3B5360AB"/>
    <w:rsid w:val="3BBD2BE5"/>
    <w:rsid w:val="3CBD1F27"/>
    <w:rsid w:val="3D235E9B"/>
    <w:rsid w:val="3F1A7F98"/>
    <w:rsid w:val="3F72695D"/>
    <w:rsid w:val="40C35246"/>
    <w:rsid w:val="411A14A7"/>
    <w:rsid w:val="415A3515"/>
    <w:rsid w:val="423A7D24"/>
    <w:rsid w:val="424A0D4F"/>
    <w:rsid w:val="42B75237"/>
    <w:rsid w:val="43776A2D"/>
    <w:rsid w:val="439A1404"/>
    <w:rsid w:val="43CC02C1"/>
    <w:rsid w:val="4432110B"/>
    <w:rsid w:val="447A2926"/>
    <w:rsid w:val="44D34C14"/>
    <w:rsid w:val="450B1981"/>
    <w:rsid w:val="45AF2B38"/>
    <w:rsid w:val="45C5343B"/>
    <w:rsid w:val="479E60A4"/>
    <w:rsid w:val="48CA3AF6"/>
    <w:rsid w:val="48D91B79"/>
    <w:rsid w:val="494F6020"/>
    <w:rsid w:val="497D2736"/>
    <w:rsid w:val="49AF15F4"/>
    <w:rsid w:val="4A4A13C7"/>
    <w:rsid w:val="4B3C3BF4"/>
    <w:rsid w:val="4B4317C7"/>
    <w:rsid w:val="4C364699"/>
    <w:rsid w:val="4C49078A"/>
    <w:rsid w:val="4C646A7C"/>
    <w:rsid w:val="4CA96A69"/>
    <w:rsid w:val="4CBB51B5"/>
    <w:rsid w:val="4CF17F2B"/>
    <w:rsid w:val="4E6E6B9B"/>
    <w:rsid w:val="4E774C4F"/>
    <w:rsid w:val="4F1B6AFB"/>
    <w:rsid w:val="4F2953A8"/>
    <w:rsid w:val="4F9974DC"/>
    <w:rsid w:val="50427AA2"/>
    <w:rsid w:val="5097131D"/>
    <w:rsid w:val="50CD0DF8"/>
    <w:rsid w:val="5130708D"/>
    <w:rsid w:val="518B0157"/>
    <w:rsid w:val="51997FD4"/>
    <w:rsid w:val="51C4585C"/>
    <w:rsid w:val="52642B9B"/>
    <w:rsid w:val="52CE34BB"/>
    <w:rsid w:val="52DE64AA"/>
    <w:rsid w:val="53521C17"/>
    <w:rsid w:val="53796D6E"/>
    <w:rsid w:val="53CB2837"/>
    <w:rsid w:val="53D64E87"/>
    <w:rsid w:val="53E173FE"/>
    <w:rsid w:val="54E46775"/>
    <w:rsid w:val="550972B4"/>
    <w:rsid w:val="557A21FC"/>
    <w:rsid w:val="559601B7"/>
    <w:rsid w:val="55F94A82"/>
    <w:rsid w:val="57BE187C"/>
    <w:rsid w:val="58220ED4"/>
    <w:rsid w:val="592635EA"/>
    <w:rsid w:val="597F10C7"/>
    <w:rsid w:val="59B75FBF"/>
    <w:rsid w:val="59D03840"/>
    <w:rsid w:val="5AC95267"/>
    <w:rsid w:val="5B6C5663"/>
    <w:rsid w:val="5B737DE8"/>
    <w:rsid w:val="5BDB0135"/>
    <w:rsid w:val="5BDB112F"/>
    <w:rsid w:val="5CD4682C"/>
    <w:rsid w:val="5D4876D1"/>
    <w:rsid w:val="5DA7594C"/>
    <w:rsid w:val="5E290949"/>
    <w:rsid w:val="5F725C03"/>
    <w:rsid w:val="5FB962D5"/>
    <w:rsid w:val="5FDB6515"/>
    <w:rsid w:val="5FDE21DF"/>
    <w:rsid w:val="607152A3"/>
    <w:rsid w:val="62AA5811"/>
    <w:rsid w:val="62B944BF"/>
    <w:rsid w:val="63BA2D68"/>
    <w:rsid w:val="649A1E84"/>
    <w:rsid w:val="64FF744C"/>
    <w:rsid w:val="65C421ED"/>
    <w:rsid w:val="67150641"/>
    <w:rsid w:val="69073CFA"/>
    <w:rsid w:val="6DE942FE"/>
    <w:rsid w:val="6E2C6F0D"/>
    <w:rsid w:val="6E3B0A76"/>
    <w:rsid w:val="6EFD6176"/>
    <w:rsid w:val="6F225677"/>
    <w:rsid w:val="6F4F79CA"/>
    <w:rsid w:val="6F7542F4"/>
    <w:rsid w:val="70F90AF1"/>
    <w:rsid w:val="71D7474B"/>
    <w:rsid w:val="73F26301"/>
    <w:rsid w:val="7488681F"/>
    <w:rsid w:val="74D63ACF"/>
    <w:rsid w:val="74DB01A0"/>
    <w:rsid w:val="74E0571E"/>
    <w:rsid w:val="77FB2E29"/>
    <w:rsid w:val="782B4FB4"/>
    <w:rsid w:val="78DB04CE"/>
    <w:rsid w:val="79C935A7"/>
    <w:rsid w:val="79CA0EDE"/>
    <w:rsid w:val="7A5711EA"/>
    <w:rsid w:val="7ADD76F1"/>
    <w:rsid w:val="7AE0081A"/>
    <w:rsid w:val="7B43689E"/>
    <w:rsid w:val="7B950CA1"/>
    <w:rsid w:val="7BF87BAB"/>
    <w:rsid w:val="7C6535F0"/>
    <w:rsid w:val="7DD93139"/>
    <w:rsid w:val="7ECB423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99" w:semiHidden="0" w:name="index 8"/>
    <w:lsdException w:uiPriority="99" w:name="index 9"/>
    <w:lsdException w:qFormat="1" w:unhideWhenUsed="0" w:uiPriority="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w:hAnsi="Times" w:eastAsia="仿宋_GB2312" w:cs="Times New Roman"/>
      <w:kern w:val="2"/>
      <w:sz w:val="32"/>
      <w:szCs w:val="32"/>
      <w:lang w:val="en-US" w:eastAsia="zh-CN" w:bidi="ar-SA"/>
    </w:rPr>
  </w:style>
  <w:style w:type="paragraph" w:styleId="3">
    <w:name w:val="heading 1"/>
    <w:basedOn w:val="1"/>
    <w:next w:val="1"/>
    <w:qFormat/>
    <w:locked/>
    <w:uiPriority w:val="0"/>
    <w:pPr>
      <w:spacing w:before="100" w:beforeAutospacing="1" w:after="100" w:afterAutospacing="1"/>
      <w:jc w:val="left"/>
    </w:pPr>
    <w:rPr>
      <w:rFonts w:hint="eastAsia" w:ascii="宋体" w:hAnsi="宋体" w:eastAsia="宋体" w:cs="宋体"/>
      <w:b/>
      <w:kern w:val="44"/>
      <w:sz w:val="48"/>
      <w:szCs w:val="48"/>
      <w:lang w:val="en-US" w:eastAsia="zh-CN" w:bidi="ar"/>
    </w:rPr>
  </w:style>
  <w:style w:type="paragraph" w:styleId="2">
    <w:name w:val="heading 2"/>
    <w:basedOn w:val="1"/>
    <w:next w:val="1"/>
    <w:qFormat/>
    <w:locked/>
    <w:uiPriority w:val="0"/>
    <w:pPr>
      <w:keepNext/>
      <w:keepLines/>
      <w:spacing w:before="260" w:after="260" w:line="416" w:lineRule="auto"/>
      <w:outlineLvl w:val="1"/>
    </w:pPr>
    <w:rPr>
      <w:rFonts w:ascii="Arial" w:hAnsi="Arial" w:eastAsia="黑体"/>
      <w:b/>
      <w:bCs/>
      <w:sz w:val="32"/>
      <w:szCs w:val="32"/>
    </w:rPr>
  </w:style>
  <w:style w:type="character" w:default="1" w:styleId="23">
    <w:name w:val="Default Paragraph Font"/>
    <w:semiHidden/>
    <w:qFormat/>
    <w:uiPriority w:val="99"/>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4">
    <w:name w:val="index 8"/>
    <w:basedOn w:val="1"/>
    <w:next w:val="1"/>
    <w:unhideWhenUsed/>
    <w:qFormat/>
    <w:uiPriority w:val="99"/>
    <w:pPr>
      <w:autoSpaceDE/>
      <w:autoSpaceDN/>
      <w:spacing w:before="100" w:beforeAutospacing="1" w:after="100" w:afterAutospacing="1"/>
      <w:ind w:left="2940"/>
      <w:jc w:val="both"/>
    </w:pPr>
    <w:rPr>
      <w:rFonts w:ascii="Calibri" w:hAnsi="Calibri" w:cs="Times New Roman"/>
      <w:kern w:val="2"/>
      <w:sz w:val="21"/>
      <w:szCs w:val="21"/>
    </w:rPr>
  </w:style>
  <w:style w:type="paragraph" w:styleId="5">
    <w:name w:val="Normal Indent"/>
    <w:basedOn w:val="1"/>
    <w:unhideWhenUsed/>
    <w:qFormat/>
    <w:uiPriority w:val="99"/>
    <w:pPr>
      <w:autoSpaceDE w:val="0"/>
      <w:autoSpaceDN w:val="0"/>
      <w:ind w:firstLine="620"/>
    </w:pPr>
    <w:rPr>
      <w:spacing w:val="4"/>
      <w:sz w:val="28"/>
      <w:szCs w:val="28"/>
    </w:rPr>
  </w:style>
  <w:style w:type="paragraph" w:styleId="6">
    <w:name w:val="Body Text"/>
    <w:basedOn w:val="1"/>
    <w:next w:val="7"/>
    <w:qFormat/>
    <w:uiPriority w:val="0"/>
    <w:pPr>
      <w:adjustRightInd w:val="0"/>
      <w:snapToGrid w:val="0"/>
      <w:jc w:val="center"/>
    </w:pPr>
    <w:rPr>
      <w:rFonts w:eastAsia="黑体"/>
      <w:w w:val="80"/>
      <w:sz w:val="42"/>
    </w:rPr>
  </w:style>
  <w:style w:type="paragraph" w:styleId="7">
    <w:name w:val="List Bullet 5"/>
    <w:basedOn w:val="1"/>
    <w:semiHidden/>
    <w:unhideWhenUsed/>
    <w:qFormat/>
    <w:uiPriority w:val="99"/>
    <w:pPr>
      <w:numPr>
        <w:ilvl w:val="0"/>
        <w:numId w:val="1"/>
      </w:numPr>
    </w:pPr>
  </w:style>
  <w:style w:type="paragraph" w:styleId="8">
    <w:name w:val="Body Text Indent"/>
    <w:basedOn w:val="1"/>
    <w:next w:val="9"/>
    <w:qFormat/>
    <w:uiPriority w:val="0"/>
    <w:pPr>
      <w:ind w:firstLine="720" w:firstLineChars="225"/>
    </w:pPr>
    <w:rPr>
      <w:rFonts w:ascii="Calibri" w:hAnsi="Calibri" w:eastAsia="宋体"/>
      <w:spacing w:val="20"/>
      <w:sz w:val="28"/>
      <w:szCs w:val="24"/>
    </w:rPr>
  </w:style>
  <w:style w:type="paragraph" w:styleId="9">
    <w:name w:val="envelope return"/>
    <w:basedOn w:val="1"/>
    <w:qFormat/>
    <w:uiPriority w:val="0"/>
    <w:rPr>
      <w:rFonts w:ascii="Arial" w:hAnsi="Arial"/>
    </w:rPr>
  </w:style>
  <w:style w:type="paragraph" w:styleId="10">
    <w:name w:val="Plain Text"/>
    <w:basedOn w:val="1"/>
    <w:next w:val="11"/>
    <w:qFormat/>
    <w:uiPriority w:val="0"/>
    <w:rPr>
      <w:rFonts w:ascii="宋体" w:hAnsi="Courier New" w:eastAsia="宋体" w:cs="Courier New"/>
      <w:sz w:val="21"/>
      <w:szCs w:val="21"/>
    </w:rPr>
  </w:style>
  <w:style w:type="paragraph" w:styleId="11">
    <w:name w:val="List Number 5"/>
    <w:basedOn w:val="1"/>
    <w:semiHidden/>
    <w:unhideWhenUsed/>
    <w:qFormat/>
    <w:uiPriority w:val="99"/>
    <w:pPr>
      <w:numPr>
        <w:ilvl w:val="0"/>
        <w:numId w:val="2"/>
      </w:numPr>
    </w:pPr>
  </w:style>
  <w:style w:type="paragraph" w:styleId="12">
    <w:name w:val="Body Text Indent 2"/>
    <w:basedOn w:val="1"/>
    <w:next w:val="1"/>
    <w:qFormat/>
    <w:uiPriority w:val="0"/>
    <w:pPr>
      <w:spacing w:after="120" w:line="480" w:lineRule="auto"/>
      <w:ind w:left="420" w:leftChars="200"/>
    </w:pPr>
  </w:style>
  <w:style w:type="paragraph" w:styleId="13">
    <w:name w:val="footer"/>
    <w:basedOn w:val="1"/>
    <w:link w:val="30"/>
    <w:semiHidden/>
    <w:qFormat/>
    <w:uiPriority w:val="99"/>
    <w:pPr>
      <w:tabs>
        <w:tab w:val="center" w:pos="4153"/>
        <w:tab w:val="right" w:pos="8306"/>
      </w:tabs>
      <w:snapToGrid w:val="0"/>
      <w:jc w:val="left"/>
    </w:pPr>
    <w:rPr>
      <w:rFonts w:ascii="Calibri" w:hAnsi="Calibri" w:eastAsia="宋体"/>
      <w:sz w:val="18"/>
      <w:szCs w:val="18"/>
    </w:rPr>
  </w:style>
  <w:style w:type="paragraph" w:styleId="14">
    <w:name w:val="header"/>
    <w:basedOn w:val="1"/>
    <w:link w:val="29"/>
    <w:semiHidden/>
    <w:qFormat/>
    <w:uiPriority w:val="99"/>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5">
    <w:name w:val="toc 1"/>
    <w:basedOn w:val="1"/>
    <w:next w:val="1"/>
    <w:semiHidden/>
    <w:qFormat/>
    <w:locked/>
    <w:uiPriority w:val="0"/>
    <w:rPr>
      <w:rFonts w:ascii="等线" w:hAnsi="等线"/>
    </w:r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8">
    <w:name w:val="Title"/>
    <w:basedOn w:val="3"/>
    <w:next w:val="1"/>
    <w:link w:val="37"/>
    <w:qFormat/>
    <w:locked/>
    <w:uiPriority w:val="0"/>
    <w:pPr>
      <w:keepNext w:val="0"/>
      <w:keepLines w:val="0"/>
      <w:spacing w:before="0" w:after="0" w:line="700" w:lineRule="exact"/>
      <w:ind w:firstLine="0" w:firstLineChars="0"/>
      <w:contextualSpacing/>
      <w:jc w:val="center"/>
    </w:pPr>
    <w:rPr>
      <w:rFonts w:ascii="方正小标宋简体" w:hAnsi="Times New Roman" w:eastAsia="方正小标宋简体" w:cs="Times New Roman"/>
      <w:b w:val="0"/>
    </w:rPr>
  </w:style>
  <w:style w:type="paragraph" w:styleId="19">
    <w:name w:val="Body Text First Indent"/>
    <w:basedOn w:val="6"/>
    <w:qFormat/>
    <w:uiPriority w:val="0"/>
    <w:pPr>
      <w:ind w:firstLine="420" w:firstLineChars="100"/>
    </w:pPr>
    <w:rPr>
      <w:rFonts w:ascii="Times New Roman" w:hAnsi="Times New Roman" w:eastAsia="宋体" w:cs="Times New Roman"/>
      <w:szCs w:val="21"/>
    </w:rPr>
  </w:style>
  <w:style w:type="paragraph" w:styleId="20">
    <w:name w:val="Body Text First Indent 2"/>
    <w:basedOn w:val="8"/>
    <w:next w:val="10"/>
    <w:qFormat/>
    <w:uiPriority w:val="99"/>
    <w:pPr>
      <w:ind w:firstLine="420" w:firstLineChars="200"/>
    </w:pPr>
    <w:rPr>
      <w:rFonts w:cs="仿宋_GB2312"/>
      <w:b/>
      <w:bCs/>
    </w:rPr>
  </w:style>
  <w:style w:type="table" w:styleId="22">
    <w:name w:val="Table Grid"/>
    <w:basedOn w:val="21"/>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locked/>
    <w:uiPriority w:val="0"/>
    <w:rPr>
      <w:b/>
    </w:rPr>
  </w:style>
  <w:style w:type="character" w:styleId="25">
    <w:name w:val="page number"/>
    <w:basedOn w:val="23"/>
    <w:qFormat/>
    <w:uiPriority w:val="0"/>
  </w:style>
  <w:style w:type="character" w:styleId="26">
    <w:name w:val="Hyperlink"/>
    <w:basedOn w:val="23"/>
    <w:qFormat/>
    <w:uiPriority w:val="0"/>
    <w:rPr>
      <w:color w:val="0000FF"/>
      <w:u w:val="single"/>
    </w:rPr>
  </w:style>
  <w:style w:type="paragraph" w:customStyle="1" w:styleId="27">
    <w:name w:val="BodyTextIndent2"/>
    <w:basedOn w:val="1"/>
    <w:next w:val="1"/>
    <w:qFormat/>
    <w:uiPriority w:val="0"/>
    <w:pPr>
      <w:spacing w:line="590" w:lineRule="exact"/>
      <w:ind w:firstLine="880" w:firstLineChars="200"/>
      <w:textAlignment w:val="baseline"/>
    </w:pPr>
    <w:rPr>
      <w:rFonts w:eastAsia="方正仿宋_GBK"/>
    </w:rPr>
  </w:style>
  <w:style w:type="paragraph" w:customStyle="1" w:styleId="28">
    <w:name w:val="报告书正文"/>
    <w:basedOn w:val="1"/>
    <w:qFormat/>
    <w:uiPriority w:val="0"/>
    <w:pPr>
      <w:spacing w:line="440" w:lineRule="atLeast"/>
      <w:ind w:firstLine="200" w:firstLineChars="200"/>
    </w:pPr>
  </w:style>
  <w:style w:type="character" w:customStyle="1" w:styleId="29">
    <w:name w:val="Header Char"/>
    <w:basedOn w:val="23"/>
    <w:link w:val="14"/>
    <w:semiHidden/>
    <w:qFormat/>
    <w:locked/>
    <w:uiPriority w:val="99"/>
    <w:rPr>
      <w:rFonts w:cs="Times New Roman"/>
      <w:sz w:val="18"/>
      <w:szCs w:val="18"/>
    </w:rPr>
  </w:style>
  <w:style w:type="character" w:customStyle="1" w:styleId="30">
    <w:name w:val="Footer Char"/>
    <w:basedOn w:val="23"/>
    <w:link w:val="13"/>
    <w:semiHidden/>
    <w:qFormat/>
    <w:locked/>
    <w:uiPriority w:val="99"/>
    <w:rPr>
      <w:rFonts w:cs="Times New Roman"/>
      <w:sz w:val="18"/>
      <w:szCs w:val="18"/>
    </w:rPr>
  </w:style>
  <w:style w:type="paragraph" w:customStyle="1" w:styleId="31">
    <w:name w:val="Heading #2|1"/>
    <w:basedOn w:val="1"/>
    <w:qFormat/>
    <w:uiPriority w:val="0"/>
    <w:pPr>
      <w:widowControl w:val="0"/>
      <w:shd w:val="clear" w:color="auto" w:fill="auto"/>
      <w:spacing w:after="520" w:line="576" w:lineRule="exact"/>
      <w:jc w:val="center"/>
      <w:outlineLvl w:val="1"/>
    </w:pPr>
    <w:rPr>
      <w:rFonts w:ascii="宋体" w:hAnsi="宋体" w:eastAsia="宋体" w:cs="宋体"/>
      <w:sz w:val="42"/>
      <w:szCs w:val="42"/>
      <w:u w:val="none"/>
      <w:shd w:val="clear" w:color="auto" w:fill="auto"/>
      <w:lang w:val="zh-TW" w:eastAsia="zh-TW" w:bidi="zh-TW"/>
    </w:rPr>
  </w:style>
  <w:style w:type="paragraph" w:customStyle="1" w:styleId="32">
    <w:name w:val="Body text|1"/>
    <w:basedOn w:val="1"/>
    <w:qFormat/>
    <w:uiPriority w:val="0"/>
    <w:pPr>
      <w:widowControl w:val="0"/>
      <w:shd w:val="clear" w:color="auto" w:fill="auto"/>
      <w:spacing w:line="396" w:lineRule="auto"/>
      <w:ind w:firstLine="400"/>
    </w:pPr>
    <w:rPr>
      <w:rFonts w:ascii="宋体" w:hAnsi="宋体" w:eastAsia="宋体" w:cs="宋体"/>
      <w:sz w:val="30"/>
      <w:szCs w:val="30"/>
      <w:u w:val="none"/>
      <w:shd w:val="clear" w:color="auto" w:fill="auto"/>
      <w:lang w:val="zh-TW" w:eastAsia="zh-TW" w:bidi="zh-TW"/>
    </w:rPr>
  </w:style>
  <w:style w:type="paragraph" w:styleId="33">
    <w:name w:val="List Paragraph"/>
    <w:basedOn w:val="1"/>
    <w:unhideWhenUsed/>
    <w:qFormat/>
    <w:uiPriority w:val="99"/>
    <w:pPr>
      <w:ind w:firstLine="420" w:firstLineChars="200"/>
    </w:pPr>
  </w:style>
  <w:style w:type="paragraph" w:customStyle="1" w:styleId="34">
    <w:name w:val="Heading #3|1"/>
    <w:basedOn w:val="1"/>
    <w:qFormat/>
    <w:uiPriority w:val="0"/>
    <w:pPr>
      <w:widowControl w:val="0"/>
      <w:shd w:val="clear" w:color="auto" w:fill="auto"/>
      <w:spacing w:line="616" w:lineRule="exact"/>
      <w:ind w:firstLine="780"/>
      <w:outlineLvl w:val="2"/>
    </w:pPr>
    <w:rPr>
      <w:rFonts w:ascii="宋体" w:hAnsi="宋体" w:eastAsia="宋体" w:cs="宋体"/>
      <w:b/>
      <w:bCs/>
      <w:sz w:val="30"/>
      <w:szCs w:val="30"/>
      <w:u w:val="none"/>
      <w:shd w:val="clear" w:color="auto" w:fill="auto"/>
      <w:lang w:val="zh-TW" w:eastAsia="zh-TW" w:bidi="zh-TW"/>
    </w:rPr>
  </w:style>
  <w:style w:type="paragraph" w:customStyle="1" w:styleId="35">
    <w:name w:val="Table Paragraph"/>
    <w:qFormat/>
    <w:uiPriority w:val="0"/>
    <w:pPr>
      <w:widowControl w:val="0"/>
      <w:autoSpaceDE w:val="0"/>
      <w:autoSpaceDN w:val="0"/>
      <w:ind w:left="99"/>
    </w:pPr>
    <w:rPr>
      <w:rFonts w:ascii="仿宋_GB2312" w:hAnsi="Times New Roman" w:eastAsia="仿宋_GB2312" w:cs="仿宋_GB2312"/>
      <w:sz w:val="22"/>
      <w:szCs w:val="22"/>
      <w:lang w:val="en-US" w:eastAsia="zh-CN" w:bidi="ar-SA"/>
    </w:rPr>
  </w:style>
  <w:style w:type="paragraph" w:customStyle="1" w:styleId="36">
    <w:name w:val="列出段落1"/>
    <w:basedOn w:val="1"/>
    <w:qFormat/>
    <w:uiPriority w:val="34"/>
    <w:pPr>
      <w:ind w:firstLine="420" w:firstLineChars="200"/>
    </w:pPr>
  </w:style>
  <w:style w:type="character" w:customStyle="1" w:styleId="37">
    <w:name w:val="标题 字符"/>
    <w:link w:val="18"/>
    <w:qFormat/>
    <w:uiPriority w:val="0"/>
    <w:rPr>
      <w:rFonts w:ascii="方正小标宋简体" w:hAnsi="Times New Roman" w:eastAsia="方正小标宋简体" w:cs="Times New Roman"/>
    </w:rPr>
  </w:style>
  <w:style w:type="table" w:customStyle="1" w:styleId="3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微软公司</Company>
  <Pages>10</Pages>
  <Words>3410</Words>
  <Characters>3447</Characters>
  <Lines>0</Lines>
  <Paragraphs>0</Paragraphs>
  <TotalTime>7</TotalTime>
  <ScaleCrop>false</ScaleCrop>
  <LinksUpToDate>false</LinksUpToDate>
  <CharactersWithSpaces>3560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2020-01-25T11:51:00Z</dcterms:created>
  <dc:creator>许凤玉</dc:creator>
  <cp:lastModifiedBy>何肖华</cp:lastModifiedBy>
  <cp:lastPrinted>2023-05-05T02:26:00Z</cp:lastPrinted>
  <dcterms:modified xsi:type="dcterms:W3CDTF">2023-12-07T12:39:29Z</dcterms:modified>
  <dc:title>关于成立龙泉镇新型冠状病毒疫情防控工作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KSOSaveFontToCloudKey">
    <vt:lpwstr>296744910_btnclosed</vt:lpwstr>
  </property>
  <property fmtid="{D5CDD505-2E9C-101B-9397-08002B2CF9AE}" pid="4" name="ICV">
    <vt:lpwstr>75E6675E869248A29D5AF8940B4AFF0E_13</vt:lpwstr>
  </property>
</Properties>
</file>