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仿宋" w:hAnsi="仿宋" w:eastAsia="仿宋"/>
          <w:b/>
          <w:bCs/>
          <w:sz w:val="44"/>
          <w:szCs w:val="44"/>
        </w:rPr>
      </w:pPr>
      <w:bookmarkStart w:id="0" w:name="_Toc123524816"/>
      <w:r>
        <w:rPr>
          <w:rFonts w:hint="eastAsia" w:ascii="仿宋" w:hAnsi="仿宋" w:eastAsia="仿宋"/>
          <w:b/>
          <w:bCs/>
          <w:sz w:val="44"/>
          <w:szCs w:val="44"/>
          <w:lang w:val="en-US" w:eastAsia="zh-CN"/>
        </w:rPr>
        <w:t>东至县</w:t>
      </w:r>
      <w:r>
        <w:rPr>
          <w:rFonts w:hint="eastAsia" w:ascii="仿宋" w:hAnsi="仿宋" w:eastAsia="仿宋"/>
          <w:b/>
          <w:bCs/>
          <w:sz w:val="44"/>
          <w:szCs w:val="44"/>
        </w:rPr>
        <w:t>地质灾害防治“十四五”规划</w:t>
      </w:r>
    </w:p>
    <w:p>
      <w:pPr>
        <w:spacing w:line="360" w:lineRule="auto"/>
        <w:jc w:val="center"/>
        <w:rPr>
          <w:rFonts w:ascii="仿宋" w:hAnsi="仿宋" w:eastAsia="仿宋"/>
          <w:b/>
          <w:bCs/>
          <w:sz w:val="44"/>
          <w:szCs w:val="44"/>
        </w:rPr>
      </w:pPr>
      <w:r>
        <w:rPr>
          <w:rFonts w:hint="eastAsia" w:ascii="仿宋" w:hAnsi="仿宋" w:eastAsia="仿宋"/>
          <w:b/>
          <w:bCs/>
          <w:sz w:val="44"/>
          <w:szCs w:val="44"/>
        </w:rPr>
        <w:t>（2021-2025年）</w:t>
      </w:r>
    </w:p>
    <w:p>
      <w:pPr>
        <w:spacing w:line="360" w:lineRule="auto"/>
        <w:jc w:val="center"/>
        <w:rPr>
          <w:rFonts w:ascii="仿宋" w:hAnsi="仿宋" w:eastAsia="仿宋"/>
          <w:b/>
          <w:spacing w:val="20"/>
          <w:sz w:val="44"/>
          <w:szCs w:val="44"/>
        </w:rPr>
      </w:pPr>
      <w:r>
        <w:rPr>
          <w:rFonts w:hint="eastAsia" w:ascii="仿宋" w:hAnsi="仿宋" w:eastAsia="仿宋"/>
          <w:b/>
          <w:spacing w:val="20"/>
          <w:sz w:val="44"/>
          <w:szCs w:val="44"/>
        </w:rPr>
        <w:t>编 制 说 明</w:t>
      </w:r>
    </w:p>
    <w:p>
      <w:pPr>
        <w:spacing w:line="360" w:lineRule="auto"/>
        <w:jc w:val="center"/>
        <w:rPr>
          <w:rFonts w:ascii="仿宋" w:hAnsi="仿宋" w:eastAsia="仿宋"/>
          <w:sz w:val="44"/>
          <w:szCs w:val="44"/>
        </w:rPr>
      </w:pPr>
    </w:p>
    <w:p>
      <w:pPr>
        <w:spacing w:before="120" w:beforeLines="50"/>
        <w:jc w:val="center"/>
        <w:rPr>
          <w:rFonts w:ascii="仿宋" w:hAnsi="仿宋" w:eastAsia="仿宋"/>
          <w:b/>
          <w:sz w:val="44"/>
          <w:szCs w:val="44"/>
        </w:rPr>
      </w:pPr>
    </w:p>
    <w:p>
      <w:pPr>
        <w:spacing w:before="120" w:beforeLines="50"/>
        <w:jc w:val="center"/>
        <w:rPr>
          <w:rFonts w:ascii="仿宋" w:hAnsi="仿宋" w:eastAsia="仿宋"/>
          <w:b/>
          <w:sz w:val="44"/>
          <w:szCs w:val="44"/>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jc w:val="center"/>
        <w:rPr>
          <w:rFonts w:ascii="仿宋" w:hAnsi="仿宋" w:eastAsia="仿宋"/>
          <w:b/>
          <w:sz w:val="30"/>
          <w:szCs w:val="30"/>
        </w:rPr>
      </w:pPr>
    </w:p>
    <w:p>
      <w:pPr>
        <w:spacing w:before="120" w:beforeLines="50" w:line="360" w:lineRule="auto"/>
        <w:jc w:val="center"/>
        <w:rPr>
          <w:rFonts w:ascii="仿宋" w:hAnsi="仿宋" w:eastAsia="仿宋"/>
          <w:b/>
          <w:bCs/>
          <w:spacing w:val="8"/>
          <w:sz w:val="36"/>
          <w:szCs w:val="36"/>
        </w:rPr>
      </w:pPr>
      <w:r>
        <w:rPr>
          <w:rFonts w:hint="eastAsia" w:ascii="仿宋" w:hAnsi="仿宋" w:eastAsia="仿宋"/>
          <w:b/>
          <w:bCs/>
          <w:spacing w:val="8"/>
          <w:sz w:val="36"/>
          <w:szCs w:val="36"/>
          <w:lang w:val="en-US" w:eastAsia="zh-CN"/>
        </w:rPr>
        <w:t>东至县</w:t>
      </w:r>
      <w:r>
        <w:rPr>
          <w:rFonts w:hint="eastAsia" w:ascii="仿宋" w:hAnsi="仿宋" w:eastAsia="仿宋"/>
          <w:b/>
          <w:bCs/>
          <w:spacing w:val="8"/>
          <w:sz w:val="36"/>
          <w:szCs w:val="36"/>
        </w:rPr>
        <w:t xml:space="preserve">人民政府 </w:t>
      </w:r>
    </w:p>
    <w:p>
      <w:pPr>
        <w:spacing w:before="120" w:beforeLines="50" w:line="360" w:lineRule="auto"/>
        <w:jc w:val="center"/>
        <w:rPr>
          <w:rFonts w:ascii="仿宋" w:hAnsi="仿宋" w:eastAsia="仿宋"/>
          <w:b/>
          <w:bCs/>
          <w:spacing w:val="8"/>
          <w:sz w:val="36"/>
          <w:szCs w:val="36"/>
        </w:rPr>
      </w:pPr>
      <w:r>
        <w:rPr>
          <w:rFonts w:hint="eastAsia" w:ascii="仿宋" w:hAnsi="仿宋" w:eastAsia="仿宋"/>
          <w:b/>
          <w:bCs/>
          <w:spacing w:val="8"/>
          <w:sz w:val="36"/>
          <w:szCs w:val="36"/>
        </w:rPr>
        <w:t>2</w:t>
      </w:r>
      <w:r>
        <w:rPr>
          <w:rFonts w:ascii="仿宋" w:hAnsi="仿宋" w:eastAsia="仿宋"/>
          <w:b/>
          <w:bCs/>
          <w:spacing w:val="8"/>
          <w:sz w:val="36"/>
          <w:szCs w:val="36"/>
        </w:rPr>
        <w:t>02</w:t>
      </w:r>
      <w:r>
        <w:rPr>
          <w:rFonts w:hint="eastAsia" w:ascii="仿宋" w:hAnsi="仿宋" w:eastAsia="仿宋"/>
          <w:b/>
          <w:bCs/>
          <w:spacing w:val="8"/>
          <w:sz w:val="36"/>
          <w:szCs w:val="36"/>
          <w:lang w:val="en-US" w:eastAsia="zh-CN"/>
        </w:rPr>
        <w:t>3</w:t>
      </w:r>
      <w:r>
        <w:rPr>
          <w:rFonts w:hint="eastAsia" w:ascii="仿宋" w:hAnsi="仿宋" w:eastAsia="仿宋"/>
          <w:b/>
          <w:bCs/>
          <w:spacing w:val="8"/>
          <w:sz w:val="36"/>
          <w:szCs w:val="36"/>
        </w:rPr>
        <w:t>年</w:t>
      </w:r>
      <w:r>
        <w:rPr>
          <w:rFonts w:hint="eastAsia" w:ascii="仿宋" w:hAnsi="仿宋" w:eastAsia="仿宋"/>
          <w:b/>
          <w:bCs/>
          <w:spacing w:val="8"/>
          <w:sz w:val="36"/>
          <w:szCs w:val="36"/>
          <w:lang w:val="en-US" w:eastAsia="zh-CN"/>
        </w:rPr>
        <w:t>7</w:t>
      </w:r>
      <w:r>
        <w:rPr>
          <w:rFonts w:hint="eastAsia" w:ascii="仿宋" w:hAnsi="仿宋" w:eastAsia="仿宋"/>
          <w:b/>
          <w:bCs/>
          <w:spacing w:val="8"/>
          <w:sz w:val="36"/>
          <w:szCs w:val="36"/>
        </w:rPr>
        <w:t>月</w:t>
      </w:r>
    </w:p>
    <w:p>
      <w:pPr>
        <w:spacing w:before="120" w:beforeLines="50" w:line="360" w:lineRule="auto"/>
        <w:jc w:val="center"/>
        <w:rPr>
          <w:rFonts w:ascii="仿宋" w:hAnsi="仿宋" w:eastAsia="仿宋"/>
          <w:b/>
          <w:bCs/>
          <w:spacing w:val="8"/>
          <w:sz w:val="36"/>
          <w:szCs w:val="36"/>
        </w:rPr>
        <w:sectPr>
          <w:footerReference r:id="rId5" w:type="first"/>
          <w:footerReference r:id="rId3" w:type="default"/>
          <w:footerReference r:id="rId4" w:type="even"/>
          <w:pgSz w:w="11906" w:h="16838"/>
          <w:pgMar w:top="1440" w:right="1247" w:bottom="1440" w:left="1588" w:header="709" w:footer="709" w:gutter="0"/>
          <w:pgBorders>
            <w:top w:val="none" w:sz="0" w:space="0"/>
            <w:left w:val="none" w:sz="0" w:space="0"/>
            <w:bottom w:val="none" w:sz="0" w:space="0"/>
            <w:right w:val="none" w:sz="0" w:space="0"/>
          </w:pgBorders>
          <w:pgNumType w:fmt="decimal" w:start="1"/>
          <w:cols w:space="425" w:num="1"/>
          <w:vAlign w:val="center"/>
          <w:docGrid w:linePitch="360" w:charSpace="0"/>
        </w:sectPr>
      </w:pPr>
    </w:p>
    <w:p>
      <w:pPr>
        <w:spacing w:line="360" w:lineRule="auto"/>
        <w:jc w:val="center"/>
        <w:rPr>
          <w:rFonts w:ascii="仿宋" w:hAnsi="仿宋" w:eastAsia="仿宋"/>
          <w:b/>
          <w:bCs/>
          <w:sz w:val="36"/>
          <w:szCs w:val="36"/>
        </w:rPr>
      </w:pPr>
      <w:r>
        <w:rPr>
          <w:rFonts w:hint="eastAsia" w:ascii="仿宋" w:hAnsi="仿宋" w:eastAsia="仿宋"/>
          <w:b/>
          <w:bCs/>
          <w:sz w:val="36"/>
          <w:szCs w:val="36"/>
          <w:lang w:val="en-US" w:eastAsia="zh-CN"/>
        </w:rPr>
        <w:t>东至县</w:t>
      </w:r>
      <w:r>
        <w:rPr>
          <w:rFonts w:hint="eastAsia" w:ascii="仿宋" w:hAnsi="仿宋" w:eastAsia="仿宋"/>
          <w:b/>
          <w:bCs/>
          <w:sz w:val="36"/>
          <w:szCs w:val="36"/>
        </w:rPr>
        <w:t>地质灾害防治“十四五”规划(</w:t>
      </w:r>
      <w:r>
        <w:rPr>
          <w:rFonts w:ascii="仿宋" w:hAnsi="仿宋" w:eastAsia="仿宋"/>
          <w:b/>
          <w:bCs/>
          <w:sz w:val="36"/>
          <w:szCs w:val="36"/>
        </w:rPr>
        <w:t>2021-2025</w:t>
      </w:r>
      <w:r>
        <w:rPr>
          <w:rFonts w:hint="eastAsia" w:ascii="仿宋" w:hAnsi="仿宋" w:eastAsia="仿宋"/>
          <w:b/>
          <w:bCs/>
          <w:sz w:val="36"/>
          <w:szCs w:val="36"/>
        </w:rPr>
        <w:t>年</w:t>
      </w:r>
      <w:r>
        <w:rPr>
          <w:rFonts w:ascii="仿宋" w:hAnsi="仿宋" w:eastAsia="仿宋"/>
          <w:b/>
          <w:bCs/>
          <w:sz w:val="36"/>
          <w:szCs w:val="36"/>
        </w:rPr>
        <w:t>)</w:t>
      </w:r>
    </w:p>
    <w:p>
      <w:pPr>
        <w:spacing w:line="360" w:lineRule="auto"/>
        <w:jc w:val="center"/>
        <w:rPr>
          <w:rFonts w:ascii="仿宋" w:hAnsi="仿宋" w:eastAsia="仿宋"/>
          <w:b/>
          <w:sz w:val="36"/>
          <w:szCs w:val="36"/>
        </w:rPr>
      </w:pPr>
      <w:r>
        <w:rPr>
          <w:rFonts w:hint="eastAsia" w:ascii="仿宋" w:hAnsi="仿宋" w:eastAsia="仿宋"/>
          <w:b/>
          <w:sz w:val="36"/>
          <w:szCs w:val="36"/>
        </w:rPr>
        <w:t xml:space="preserve">编 </w:t>
      </w:r>
      <w:r>
        <w:rPr>
          <w:rFonts w:ascii="仿宋" w:hAnsi="仿宋" w:eastAsia="仿宋"/>
          <w:b/>
          <w:sz w:val="36"/>
          <w:szCs w:val="36"/>
        </w:rPr>
        <w:t xml:space="preserve"> </w:t>
      </w:r>
      <w:r>
        <w:rPr>
          <w:rFonts w:hint="eastAsia" w:ascii="仿宋" w:hAnsi="仿宋" w:eastAsia="仿宋"/>
          <w:b/>
          <w:sz w:val="36"/>
          <w:szCs w:val="36"/>
        </w:rPr>
        <w:t xml:space="preserve">制 </w:t>
      </w:r>
      <w:r>
        <w:rPr>
          <w:rFonts w:ascii="仿宋" w:hAnsi="仿宋" w:eastAsia="仿宋"/>
          <w:b/>
          <w:sz w:val="36"/>
          <w:szCs w:val="36"/>
        </w:rPr>
        <w:t xml:space="preserve"> </w:t>
      </w:r>
      <w:r>
        <w:rPr>
          <w:rFonts w:hint="eastAsia" w:ascii="仿宋" w:hAnsi="仿宋" w:eastAsia="仿宋"/>
          <w:b/>
          <w:sz w:val="36"/>
          <w:szCs w:val="36"/>
        </w:rPr>
        <w:t xml:space="preserve">说 </w:t>
      </w:r>
      <w:r>
        <w:rPr>
          <w:rFonts w:ascii="仿宋" w:hAnsi="仿宋" w:eastAsia="仿宋"/>
          <w:b/>
          <w:sz w:val="36"/>
          <w:szCs w:val="36"/>
        </w:rPr>
        <w:t xml:space="preserve"> </w:t>
      </w:r>
      <w:r>
        <w:rPr>
          <w:rFonts w:hint="eastAsia" w:ascii="仿宋" w:hAnsi="仿宋" w:eastAsia="仿宋"/>
          <w:b/>
          <w:sz w:val="36"/>
          <w:szCs w:val="36"/>
        </w:rPr>
        <w:t>明</w:t>
      </w:r>
    </w:p>
    <w:p>
      <w:pPr>
        <w:tabs>
          <w:tab w:val="left" w:pos="2340"/>
        </w:tabs>
        <w:spacing w:line="360" w:lineRule="auto"/>
        <w:rPr>
          <w:rFonts w:ascii="仿宋" w:hAnsi="仿宋" w:eastAsia="仿宋"/>
          <w:sz w:val="36"/>
          <w:szCs w:val="36"/>
        </w:rPr>
      </w:pPr>
    </w:p>
    <w:p>
      <w:pPr>
        <w:tabs>
          <w:tab w:val="left" w:pos="2340"/>
        </w:tabs>
        <w:spacing w:line="360" w:lineRule="auto"/>
        <w:rPr>
          <w:rFonts w:ascii="仿宋" w:hAnsi="仿宋" w:eastAsia="仿宋"/>
          <w:sz w:val="30"/>
          <w:szCs w:val="30"/>
        </w:rPr>
      </w:pPr>
    </w:p>
    <w:p>
      <w:pPr>
        <w:tabs>
          <w:tab w:val="left" w:pos="2340"/>
        </w:tabs>
        <w:spacing w:line="360" w:lineRule="auto"/>
        <w:rPr>
          <w:rFonts w:ascii="仿宋" w:hAnsi="仿宋" w:eastAsia="仿宋"/>
          <w:sz w:val="30"/>
          <w:szCs w:val="30"/>
        </w:rPr>
      </w:pPr>
    </w:p>
    <w:p>
      <w:pPr>
        <w:tabs>
          <w:tab w:val="left" w:pos="1260"/>
          <w:tab w:val="left" w:pos="5760"/>
        </w:tabs>
        <w:spacing w:line="520" w:lineRule="exact"/>
        <w:ind w:firstLine="1280" w:firstLineChars="400"/>
        <w:rPr>
          <w:rFonts w:ascii="仿宋" w:hAnsi="仿宋" w:eastAsia="仿宋"/>
          <w:sz w:val="32"/>
          <w:szCs w:val="32"/>
        </w:rPr>
      </w:pPr>
      <w:r>
        <w:rPr>
          <w:rFonts w:hint="eastAsia" w:ascii="仿宋" w:hAnsi="仿宋" w:eastAsia="仿宋"/>
          <w:sz w:val="32"/>
          <w:szCs w:val="32"/>
        </w:rPr>
        <w:t>规划组织单位：东至县自然资源和规划局</w:t>
      </w:r>
    </w:p>
    <w:p>
      <w:pPr>
        <w:tabs>
          <w:tab w:val="left" w:pos="1260"/>
          <w:tab w:val="left" w:pos="5760"/>
        </w:tabs>
        <w:spacing w:line="520" w:lineRule="exact"/>
        <w:ind w:firstLine="1280" w:firstLineChars="400"/>
        <w:rPr>
          <w:rFonts w:ascii="仿宋" w:hAnsi="仿宋" w:eastAsia="仿宋"/>
          <w:sz w:val="32"/>
          <w:szCs w:val="32"/>
        </w:rPr>
      </w:pPr>
    </w:p>
    <w:p>
      <w:pPr>
        <w:tabs>
          <w:tab w:val="left" w:pos="1260"/>
          <w:tab w:val="left" w:pos="5760"/>
        </w:tabs>
        <w:spacing w:line="520" w:lineRule="exact"/>
        <w:ind w:firstLine="1280" w:firstLineChars="400"/>
        <w:rPr>
          <w:rFonts w:ascii="仿宋" w:hAnsi="仿宋" w:eastAsia="仿宋"/>
          <w:sz w:val="32"/>
          <w:szCs w:val="32"/>
        </w:rPr>
      </w:pPr>
    </w:p>
    <w:p>
      <w:pPr>
        <w:tabs>
          <w:tab w:val="left" w:pos="1260"/>
          <w:tab w:val="left" w:pos="5760"/>
        </w:tabs>
        <w:spacing w:line="520" w:lineRule="exact"/>
        <w:ind w:firstLine="1280" w:firstLineChars="400"/>
        <w:rPr>
          <w:rFonts w:ascii="仿宋" w:hAnsi="仿宋" w:eastAsia="仿宋"/>
          <w:sz w:val="32"/>
          <w:szCs w:val="32"/>
        </w:rPr>
      </w:pPr>
    </w:p>
    <w:p>
      <w:pPr>
        <w:tabs>
          <w:tab w:val="left" w:pos="1260"/>
          <w:tab w:val="left" w:pos="5760"/>
        </w:tabs>
        <w:spacing w:line="520" w:lineRule="exact"/>
        <w:ind w:firstLine="1280" w:firstLineChars="400"/>
        <w:rPr>
          <w:rFonts w:hint="eastAsia" w:ascii="仿宋" w:hAnsi="仿宋" w:eastAsia="仿宋"/>
          <w:sz w:val="32"/>
          <w:szCs w:val="32"/>
        </w:rPr>
      </w:pPr>
      <w:r>
        <w:rPr>
          <w:rFonts w:hint="eastAsia" w:ascii="仿宋" w:hAnsi="仿宋" w:eastAsia="仿宋"/>
          <w:sz w:val="32"/>
          <w:szCs w:val="32"/>
        </w:rPr>
        <w:t>规划承编单位：安徽省地质矿产勘查局324地质队</w:t>
      </w:r>
    </w:p>
    <w:p>
      <w:pPr>
        <w:tabs>
          <w:tab w:val="left" w:pos="2340"/>
        </w:tabs>
        <w:spacing w:line="360" w:lineRule="auto"/>
        <w:rPr>
          <w:rFonts w:ascii="仿宋" w:hAnsi="仿宋" w:eastAsia="仿宋"/>
          <w:sz w:val="30"/>
          <w:szCs w:val="30"/>
        </w:rPr>
      </w:pPr>
    </w:p>
    <w:p>
      <w:pPr>
        <w:tabs>
          <w:tab w:val="left" w:pos="2340"/>
        </w:tabs>
        <w:spacing w:line="360" w:lineRule="auto"/>
        <w:rPr>
          <w:rFonts w:ascii="仿宋" w:hAnsi="仿宋" w:eastAsia="仿宋"/>
          <w:sz w:val="30"/>
          <w:szCs w:val="30"/>
        </w:rPr>
      </w:pPr>
    </w:p>
    <w:p>
      <w:pPr>
        <w:tabs>
          <w:tab w:val="left" w:pos="2340"/>
        </w:tabs>
        <w:spacing w:line="520" w:lineRule="exact"/>
        <w:ind w:firstLine="1280" w:firstLineChars="400"/>
        <w:rPr>
          <w:rFonts w:ascii="仿宋" w:hAnsi="仿宋" w:eastAsia="仿宋"/>
          <w:sz w:val="32"/>
          <w:szCs w:val="32"/>
        </w:rPr>
      </w:pPr>
      <w:r>
        <w:rPr>
          <w:rFonts w:hint="eastAsia" w:ascii="仿宋" w:hAnsi="仿宋" w:eastAsia="仿宋"/>
          <w:sz w:val="32"/>
          <w:szCs w:val="32"/>
        </w:rPr>
        <w:t>规划项目负责：张云霞</w:t>
      </w:r>
    </w:p>
    <w:p>
      <w:pPr>
        <w:tabs>
          <w:tab w:val="left" w:pos="2340"/>
        </w:tabs>
        <w:spacing w:line="520" w:lineRule="exact"/>
        <w:ind w:firstLine="1280" w:firstLineChars="400"/>
        <w:rPr>
          <w:rFonts w:ascii="仿宋" w:hAnsi="仿宋" w:eastAsia="仿宋"/>
          <w:sz w:val="32"/>
          <w:szCs w:val="32"/>
        </w:rPr>
      </w:pPr>
    </w:p>
    <w:p>
      <w:pPr>
        <w:tabs>
          <w:tab w:val="left" w:pos="2340"/>
        </w:tabs>
        <w:spacing w:line="520" w:lineRule="exact"/>
        <w:ind w:firstLine="1280" w:firstLineChars="400"/>
        <w:jc w:val="left"/>
        <w:rPr>
          <w:rFonts w:ascii="仿宋" w:hAnsi="仿宋" w:eastAsia="仿宋"/>
          <w:sz w:val="32"/>
          <w:szCs w:val="32"/>
        </w:rPr>
      </w:pPr>
      <w:r>
        <w:rPr>
          <w:rFonts w:hint="eastAsia" w:ascii="仿宋" w:hAnsi="仿宋" w:eastAsia="仿宋"/>
          <w:sz w:val="32"/>
          <w:szCs w:val="32"/>
        </w:rPr>
        <w:t xml:space="preserve">规划编写人员：张云霞 郭德岭 许斌 何涛  </w:t>
      </w:r>
    </w:p>
    <w:p>
      <w:pPr>
        <w:tabs>
          <w:tab w:val="left" w:pos="2340"/>
        </w:tabs>
        <w:spacing w:line="520" w:lineRule="exact"/>
        <w:ind w:firstLine="1280" w:firstLineChars="400"/>
        <w:rPr>
          <w:rFonts w:ascii="Calibri" w:hAnsi="Calibri" w:eastAsia="仿宋" w:cs="Calibri"/>
          <w:sz w:val="32"/>
          <w:szCs w:val="32"/>
        </w:rPr>
      </w:pPr>
    </w:p>
    <w:p>
      <w:pPr>
        <w:tabs>
          <w:tab w:val="left" w:pos="2340"/>
        </w:tabs>
        <w:spacing w:line="520" w:lineRule="exact"/>
        <w:ind w:firstLine="1280" w:firstLineChars="400"/>
        <w:rPr>
          <w:rFonts w:ascii="Calibri" w:hAnsi="Calibri" w:eastAsia="仿宋" w:cs="Calibri"/>
          <w:sz w:val="32"/>
          <w:szCs w:val="32"/>
        </w:rPr>
      </w:pPr>
    </w:p>
    <w:p>
      <w:pPr>
        <w:tabs>
          <w:tab w:val="left" w:pos="2340"/>
        </w:tabs>
        <w:spacing w:line="520" w:lineRule="exact"/>
        <w:ind w:firstLine="1280" w:firstLineChars="400"/>
        <w:rPr>
          <w:rFonts w:ascii="仿宋" w:hAnsi="仿宋" w:eastAsia="仿宋"/>
          <w:sz w:val="32"/>
          <w:szCs w:val="32"/>
        </w:rPr>
      </w:pPr>
      <w:r>
        <w:rPr>
          <w:rFonts w:ascii="Calibri" w:hAnsi="Calibri" w:eastAsia="仿宋" w:cs="Calibri"/>
          <w:sz w:val="32"/>
          <w:szCs w:val="32"/>
        </w:rPr>
        <w:t>   </w:t>
      </w:r>
    </w:p>
    <w:p>
      <w:pPr>
        <w:tabs>
          <w:tab w:val="left" w:pos="1260"/>
          <w:tab w:val="left" w:pos="5760"/>
        </w:tabs>
        <w:spacing w:line="520" w:lineRule="exact"/>
        <w:ind w:firstLine="1280" w:firstLineChars="400"/>
        <w:rPr>
          <w:rFonts w:ascii="仿宋" w:hAnsi="仿宋" w:eastAsia="仿宋"/>
          <w:sz w:val="32"/>
          <w:szCs w:val="32"/>
        </w:rPr>
        <w:sectPr>
          <w:footerReference r:id="rId8" w:type="first"/>
          <w:headerReference r:id="rId6" w:type="default"/>
          <w:footerReference r:id="rId7" w:type="default"/>
          <w:pgSz w:w="11906" w:h="16838"/>
          <w:pgMar w:top="1440" w:right="1247" w:bottom="1440" w:left="1588" w:header="851" w:footer="992" w:gutter="0"/>
          <w:pgBorders>
            <w:top w:val="none" w:sz="0" w:space="0"/>
            <w:left w:val="none" w:sz="0" w:space="0"/>
            <w:bottom w:val="none" w:sz="0" w:space="0"/>
            <w:right w:val="none" w:sz="0" w:space="0"/>
          </w:pgBorders>
          <w:pgNumType w:fmt="decimal" w:start="1"/>
          <w:cols w:space="425" w:num="1"/>
          <w:titlePg/>
          <w:docGrid w:linePitch="312" w:charSpace="0"/>
        </w:sectPr>
      </w:pPr>
      <w:r>
        <w:rPr>
          <w:rFonts w:hint="eastAsia" w:ascii="仿宋" w:hAnsi="仿宋" w:eastAsia="仿宋"/>
          <w:sz w:val="32"/>
          <w:szCs w:val="32"/>
        </w:rPr>
        <w:t>规划提交日期：202</w:t>
      </w:r>
      <w:r>
        <w:rPr>
          <w:rFonts w:hint="eastAsia" w:ascii="仿宋" w:hAnsi="仿宋" w:eastAsia="仿宋"/>
          <w:sz w:val="32"/>
          <w:szCs w:val="32"/>
          <w:lang w:val="en-US" w:eastAsia="zh-CN"/>
        </w:rPr>
        <w:t>3</w:t>
      </w:r>
      <w:r>
        <w:rPr>
          <w:rFonts w:hint="eastAsia" w:ascii="仿宋" w:hAnsi="仿宋" w:eastAsia="仿宋"/>
          <w:sz w:val="32"/>
          <w:szCs w:val="32"/>
        </w:rPr>
        <w:t>年</w:t>
      </w:r>
      <w:r>
        <w:rPr>
          <w:rFonts w:hint="eastAsia" w:ascii="仿宋" w:hAnsi="仿宋" w:eastAsia="仿宋"/>
          <w:sz w:val="32"/>
          <w:szCs w:val="32"/>
          <w:lang w:val="en-US" w:eastAsia="zh-CN"/>
        </w:rPr>
        <w:t>7</w:t>
      </w:r>
      <w:r>
        <w:rPr>
          <w:rFonts w:hint="eastAsia" w:ascii="仿宋" w:hAnsi="仿宋" w:eastAsia="仿宋"/>
          <w:sz w:val="32"/>
          <w:szCs w:val="32"/>
        </w:rPr>
        <w:t>月</w:t>
      </w:r>
    </w:p>
    <w:p>
      <w:pPr>
        <w:spacing w:before="240" w:beforeLines="100" w:after="240" w:afterLines="100" w:line="276" w:lineRule="auto"/>
        <w:ind w:firstLine="602" w:firstLineChars="200"/>
        <w:jc w:val="center"/>
        <w:rPr>
          <w:rFonts w:hint="eastAsia" w:ascii="仿宋" w:hAnsi="仿宋" w:eastAsia="仿宋" w:cs="仿宋"/>
          <w:b/>
          <w:i w:val="0"/>
          <w:iCs w:val="0"/>
          <w:color w:val="auto"/>
          <w:sz w:val="30"/>
          <w:szCs w:val="30"/>
        </w:rPr>
      </w:pPr>
      <w:r>
        <w:rPr>
          <w:rFonts w:hint="eastAsia" w:ascii="仿宋" w:hAnsi="仿宋" w:eastAsia="仿宋" w:cs="仿宋"/>
          <w:b/>
          <w:i w:val="0"/>
          <w:iCs w:val="0"/>
          <w:color w:val="auto"/>
          <w:sz w:val="30"/>
          <w:szCs w:val="30"/>
        </w:rPr>
        <w:t>目  录</w:t>
      </w:r>
      <w:bookmarkEnd w:id="0"/>
    </w:p>
    <w:p>
      <w:pPr>
        <w:pStyle w:val="20"/>
        <w:tabs>
          <w:tab w:val="right" w:leader="dot" w:pos="9072"/>
        </w:tabs>
        <w:rPr>
          <w:rFonts w:hint="eastAsia" w:ascii="仿宋" w:hAnsi="仿宋" w:eastAsia="仿宋" w:cs="仿宋"/>
          <w:sz w:val="30"/>
          <w:szCs w:val="30"/>
        </w:rPr>
      </w:pPr>
      <w:r>
        <w:rPr>
          <w:rFonts w:hint="eastAsia" w:ascii="仿宋" w:hAnsi="仿宋" w:eastAsia="仿宋" w:cs="仿宋"/>
          <w:bCs w:val="0"/>
          <w:i w:val="0"/>
          <w:iCs w:val="0"/>
          <w:color w:val="auto"/>
          <w:sz w:val="30"/>
          <w:szCs w:val="30"/>
        </w:rPr>
        <w:fldChar w:fldCharType="begin"/>
      </w:r>
      <w:r>
        <w:rPr>
          <w:rFonts w:hint="eastAsia" w:ascii="仿宋" w:hAnsi="仿宋" w:eastAsia="仿宋" w:cs="仿宋"/>
          <w:bCs w:val="0"/>
          <w:i w:val="0"/>
          <w:iCs w:val="0"/>
          <w:color w:val="auto"/>
          <w:sz w:val="30"/>
          <w:szCs w:val="30"/>
        </w:rPr>
        <w:instrText xml:space="preserve"> TOC \o "1-3" \h \z \u </w:instrText>
      </w:r>
      <w:r>
        <w:rPr>
          <w:rFonts w:hint="eastAsia" w:ascii="仿宋" w:hAnsi="仿宋" w:eastAsia="仿宋" w:cs="仿宋"/>
          <w:bCs w:val="0"/>
          <w:i w:val="0"/>
          <w:iCs w:val="0"/>
          <w:color w:val="auto"/>
          <w:sz w:val="30"/>
          <w:szCs w:val="30"/>
        </w:rPr>
        <w:fldChar w:fldCharType="separate"/>
      </w:r>
      <w:r>
        <w:rPr>
          <w:rFonts w:hint="eastAsia" w:ascii="仿宋" w:hAnsi="仿宋" w:eastAsia="仿宋" w:cs="仿宋"/>
          <w:bCs w:val="0"/>
          <w:i w:val="0"/>
          <w:iCs w:val="0"/>
          <w:color w:val="auto"/>
          <w:sz w:val="30"/>
          <w:szCs w:val="30"/>
        </w:rPr>
        <w:fldChar w:fldCharType="begin"/>
      </w:r>
      <w:r>
        <w:rPr>
          <w:rFonts w:hint="eastAsia" w:ascii="仿宋" w:hAnsi="仿宋" w:eastAsia="仿宋" w:cs="仿宋"/>
          <w:bCs w:val="0"/>
          <w:i w:val="0"/>
          <w:iCs w:val="0"/>
          <w:sz w:val="30"/>
          <w:szCs w:val="30"/>
        </w:rPr>
        <w:instrText xml:space="preserve"> HYPERLINK \l _Toc23845 </w:instrText>
      </w:r>
      <w:r>
        <w:rPr>
          <w:rFonts w:hint="eastAsia" w:ascii="仿宋" w:hAnsi="仿宋" w:eastAsia="仿宋" w:cs="仿宋"/>
          <w:bCs w:val="0"/>
          <w:i w:val="0"/>
          <w:iCs w:val="0"/>
          <w:sz w:val="30"/>
          <w:szCs w:val="30"/>
        </w:rPr>
        <w:fldChar w:fldCharType="separate"/>
      </w:r>
      <w:r>
        <w:rPr>
          <w:rFonts w:hint="eastAsia" w:ascii="仿宋" w:hAnsi="仿宋" w:eastAsia="仿宋" w:cs="仿宋"/>
          <w:kern w:val="44"/>
          <w:sz w:val="30"/>
          <w:szCs w:val="30"/>
        </w:rPr>
        <w:t>一、 前 言</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_Toc23845 </w:instrText>
      </w:r>
      <w:r>
        <w:rPr>
          <w:rFonts w:hint="eastAsia" w:ascii="仿宋" w:hAnsi="仿宋" w:eastAsia="仿宋" w:cs="仿宋"/>
          <w:sz w:val="30"/>
          <w:szCs w:val="30"/>
        </w:rPr>
        <w:fldChar w:fldCharType="separate"/>
      </w:r>
      <w:r>
        <w:rPr>
          <w:rFonts w:hint="eastAsia" w:ascii="仿宋" w:hAnsi="仿宋" w:eastAsia="仿宋" w:cs="仿宋"/>
          <w:sz w:val="30"/>
          <w:szCs w:val="30"/>
        </w:rPr>
        <w:t>1</w:t>
      </w:r>
      <w:r>
        <w:rPr>
          <w:rFonts w:hint="eastAsia" w:ascii="仿宋" w:hAnsi="仿宋" w:eastAsia="仿宋" w:cs="仿宋"/>
          <w:sz w:val="30"/>
          <w:szCs w:val="30"/>
        </w:rPr>
        <w:fldChar w:fldCharType="end"/>
      </w:r>
      <w:r>
        <w:rPr>
          <w:rFonts w:hint="eastAsia" w:ascii="仿宋" w:hAnsi="仿宋" w:eastAsia="仿宋" w:cs="仿宋"/>
          <w:bCs w:val="0"/>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_Toc2171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（一）项目由来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_Toc2171 </w:instrText>
      </w:r>
      <w:r>
        <w:rPr>
          <w:rFonts w:hint="eastAsia" w:ascii="仿宋" w:hAnsi="仿宋" w:eastAsia="仿宋" w:cs="仿宋"/>
          <w:sz w:val="30"/>
          <w:szCs w:val="30"/>
        </w:rPr>
        <w:fldChar w:fldCharType="separate"/>
      </w:r>
      <w:r>
        <w:rPr>
          <w:rFonts w:hint="eastAsia" w:ascii="仿宋" w:hAnsi="仿宋" w:eastAsia="仿宋" w:cs="仿宋"/>
          <w:sz w:val="30"/>
          <w:szCs w:val="30"/>
        </w:rPr>
        <w:t>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_Toc26533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（二）组织管理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_Toc26533 </w:instrText>
      </w:r>
      <w:r>
        <w:rPr>
          <w:rFonts w:hint="eastAsia" w:ascii="仿宋" w:hAnsi="仿宋" w:eastAsia="仿宋" w:cs="仿宋"/>
          <w:sz w:val="30"/>
          <w:szCs w:val="30"/>
        </w:rPr>
        <w:fldChar w:fldCharType="separate"/>
      </w:r>
      <w:r>
        <w:rPr>
          <w:rFonts w:hint="eastAsia" w:ascii="仿宋" w:hAnsi="仿宋" w:eastAsia="仿宋" w:cs="仿宋"/>
          <w:sz w:val="30"/>
          <w:szCs w:val="30"/>
        </w:rPr>
        <w:t>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_Toc18835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（三）编制过程</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_Toc18835 </w:instrText>
      </w:r>
      <w:r>
        <w:rPr>
          <w:rFonts w:hint="eastAsia" w:ascii="仿宋" w:hAnsi="仿宋" w:eastAsia="仿宋" w:cs="仿宋"/>
          <w:sz w:val="30"/>
          <w:szCs w:val="30"/>
        </w:rPr>
        <w:fldChar w:fldCharType="separate"/>
      </w:r>
      <w:r>
        <w:rPr>
          <w:rFonts w:hint="eastAsia" w:ascii="仿宋" w:hAnsi="仿宋" w:eastAsia="仿宋" w:cs="仿宋"/>
          <w:sz w:val="30"/>
          <w:szCs w:val="30"/>
        </w:rPr>
        <w:t>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_Toc31925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二、 规划依据</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_Toc31925 </w:instrText>
      </w:r>
      <w:r>
        <w:rPr>
          <w:rFonts w:hint="eastAsia" w:ascii="仿宋" w:hAnsi="仿宋" w:eastAsia="仿宋" w:cs="仿宋"/>
          <w:sz w:val="30"/>
          <w:szCs w:val="30"/>
        </w:rPr>
        <w:fldChar w:fldCharType="separate"/>
      </w:r>
      <w:r>
        <w:rPr>
          <w:rFonts w:hint="eastAsia" w:ascii="仿宋" w:hAnsi="仿宋" w:eastAsia="仿宋" w:cs="仿宋"/>
          <w:sz w:val="30"/>
          <w:szCs w:val="30"/>
        </w:rPr>
        <w:t>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_Toc4861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（一）法律法规</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_Toc4861 </w:instrText>
      </w:r>
      <w:r>
        <w:rPr>
          <w:rFonts w:hint="eastAsia" w:ascii="仿宋" w:hAnsi="仿宋" w:eastAsia="仿宋" w:cs="仿宋"/>
          <w:sz w:val="30"/>
          <w:szCs w:val="30"/>
        </w:rPr>
        <w:fldChar w:fldCharType="separate"/>
      </w:r>
      <w:r>
        <w:rPr>
          <w:rFonts w:hint="eastAsia" w:ascii="仿宋" w:hAnsi="仿宋" w:eastAsia="仿宋" w:cs="仿宋"/>
          <w:sz w:val="30"/>
          <w:szCs w:val="30"/>
        </w:rPr>
        <w:t>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_Toc20942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（二）相关文件</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_Toc20942 </w:instrText>
      </w:r>
      <w:r>
        <w:rPr>
          <w:rFonts w:hint="eastAsia" w:ascii="仿宋" w:hAnsi="仿宋" w:eastAsia="仿宋" w:cs="仿宋"/>
          <w:sz w:val="30"/>
          <w:szCs w:val="30"/>
        </w:rPr>
        <w:fldChar w:fldCharType="separate"/>
      </w:r>
      <w:r>
        <w:rPr>
          <w:rFonts w:hint="eastAsia" w:ascii="仿宋" w:hAnsi="仿宋" w:eastAsia="仿宋" w:cs="仿宋"/>
          <w:sz w:val="30"/>
          <w:szCs w:val="30"/>
        </w:rPr>
        <w:t>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_Toc7755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（三）相关规划</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_Toc7755 </w:instrText>
      </w:r>
      <w:r>
        <w:rPr>
          <w:rFonts w:hint="eastAsia" w:ascii="仿宋" w:hAnsi="仿宋" w:eastAsia="仿宋" w:cs="仿宋"/>
          <w:sz w:val="30"/>
          <w:szCs w:val="30"/>
        </w:rPr>
        <w:fldChar w:fldCharType="separate"/>
      </w:r>
      <w:r>
        <w:rPr>
          <w:rFonts w:hint="eastAsia" w:ascii="仿宋" w:hAnsi="仿宋" w:eastAsia="仿宋" w:cs="仿宋"/>
          <w:sz w:val="30"/>
          <w:szCs w:val="30"/>
        </w:rPr>
        <w:t>5</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_Toc13365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（四）相关规范</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_Toc13365 </w:instrText>
      </w:r>
      <w:r>
        <w:rPr>
          <w:rFonts w:hint="eastAsia" w:ascii="仿宋" w:hAnsi="仿宋" w:eastAsia="仿宋" w:cs="仿宋"/>
          <w:sz w:val="30"/>
          <w:szCs w:val="30"/>
        </w:rPr>
        <w:fldChar w:fldCharType="separate"/>
      </w:r>
      <w:r>
        <w:rPr>
          <w:rFonts w:hint="eastAsia" w:ascii="仿宋" w:hAnsi="仿宋" w:eastAsia="仿宋" w:cs="仿宋"/>
          <w:sz w:val="30"/>
          <w:szCs w:val="30"/>
        </w:rPr>
        <w:t>5</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_Toc32197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（五）相关资料</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_Toc32197 </w:instrText>
      </w:r>
      <w:r>
        <w:rPr>
          <w:rFonts w:hint="eastAsia" w:ascii="仿宋" w:hAnsi="仿宋" w:eastAsia="仿宋" w:cs="仿宋"/>
          <w:sz w:val="30"/>
          <w:szCs w:val="30"/>
        </w:rPr>
        <w:fldChar w:fldCharType="separate"/>
      </w:r>
      <w:r>
        <w:rPr>
          <w:rFonts w:hint="eastAsia" w:ascii="仿宋" w:hAnsi="仿宋" w:eastAsia="仿宋" w:cs="仿宋"/>
          <w:sz w:val="30"/>
          <w:szCs w:val="30"/>
        </w:rPr>
        <w:t>6</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_Toc18140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三、 规划背景</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_Toc18140 </w:instrText>
      </w:r>
      <w:r>
        <w:rPr>
          <w:rFonts w:hint="eastAsia" w:ascii="仿宋" w:hAnsi="仿宋" w:eastAsia="仿宋" w:cs="仿宋"/>
          <w:sz w:val="30"/>
          <w:szCs w:val="30"/>
        </w:rPr>
        <w:fldChar w:fldCharType="separate"/>
      </w:r>
      <w:r>
        <w:rPr>
          <w:rFonts w:hint="eastAsia" w:ascii="仿宋" w:hAnsi="仿宋" w:eastAsia="仿宋" w:cs="仿宋"/>
          <w:sz w:val="30"/>
          <w:szCs w:val="30"/>
        </w:rPr>
        <w:t>6</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_Toc25397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（一）自然地理条件概况</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_Toc25397 </w:instrText>
      </w:r>
      <w:r>
        <w:rPr>
          <w:rFonts w:hint="eastAsia" w:ascii="仿宋" w:hAnsi="仿宋" w:eastAsia="仿宋" w:cs="仿宋"/>
          <w:sz w:val="30"/>
          <w:szCs w:val="30"/>
        </w:rPr>
        <w:fldChar w:fldCharType="separate"/>
      </w:r>
      <w:r>
        <w:rPr>
          <w:rFonts w:hint="eastAsia" w:ascii="仿宋" w:hAnsi="仿宋" w:eastAsia="仿宋" w:cs="仿宋"/>
          <w:sz w:val="30"/>
          <w:szCs w:val="30"/>
        </w:rPr>
        <w:t>6</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_Toc11387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（二）地质灾害防治工作现状</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_Toc11387 </w:instrText>
      </w:r>
      <w:r>
        <w:rPr>
          <w:rFonts w:hint="eastAsia" w:ascii="仿宋" w:hAnsi="仿宋" w:eastAsia="仿宋" w:cs="仿宋"/>
          <w:sz w:val="30"/>
          <w:szCs w:val="30"/>
        </w:rPr>
        <w:fldChar w:fldCharType="separate"/>
      </w:r>
      <w:r>
        <w:rPr>
          <w:rFonts w:hint="eastAsia" w:ascii="仿宋" w:hAnsi="仿宋" w:eastAsia="仿宋" w:cs="仿宋"/>
          <w:sz w:val="30"/>
          <w:szCs w:val="30"/>
        </w:rPr>
        <w:t>24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_Toc9766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（三）地质灾害发育现状</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_Toc9766 </w:instrText>
      </w:r>
      <w:r>
        <w:rPr>
          <w:rFonts w:hint="eastAsia" w:ascii="仿宋" w:hAnsi="仿宋" w:eastAsia="仿宋" w:cs="仿宋"/>
          <w:sz w:val="30"/>
          <w:szCs w:val="30"/>
        </w:rPr>
        <w:fldChar w:fldCharType="separate"/>
      </w:r>
      <w:r>
        <w:rPr>
          <w:rFonts w:hint="eastAsia" w:ascii="仿宋" w:hAnsi="仿宋" w:eastAsia="仿宋" w:cs="仿宋"/>
          <w:sz w:val="30"/>
          <w:szCs w:val="30"/>
        </w:rPr>
        <w:t>24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_Toc26464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（四）地质灾害发展趋势</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_Toc26464 </w:instrText>
      </w:r>
      <w:r>
        <w:rPr>
          <w:rFonts w:hint="eastAsia" w:ascii="仿宋" w:hAnsi="仿宋" w:eastAsia="仿宋" w:cs="仿宋"/>
          <w:sz w:val="30"/>
          <w:szCs w:val="30"/>
        </w:rPr>
        <w:fldChar w:fldCharType="separate"/>
      </w:r>
      <w:r>
        <w:rPr>
          <w:rFonts w:hint="eastAsia" w:ascii="仿宋" w:hAnsi="仿宋" w:eastAsia="仿宋" w:cs="仿宋"/>
          <w:sz w:val="30"/>
          <w:szCs w:val="30"/>
        </w:rPr>
        <w:t>26</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_Toc19694 </w:instrText>
      </w:r>
      <w:r>
        <w:rPr>
          <w:rFonts w:hint="eastAsia" w:ascii="仿宋" w:hAnsi="仿宋" w:eastAsia="仿宋" w:cs="仿宋"/>
          <w:bCs/>
          <w:i w:val="0"/>
          <w:iCs w:val="0"/>
          <w:sz w:val="30"/>
          <w:szCs w:val="30"/>
        </w:rPr>
        <w:fldChar w:fldCharType="separate"/>
      </w:r>
      <w:r>
        <w:rPr>
          <w:rFonts w:hint="eastAsia" w:ascii="仿宋" w:hAnsi="仿宋" w:eastAsia="仿宋" w:cs="仿宋"/>
          <w:bCs w:val="0"/>
          <w:kern w:val="44"/>
          <w:sz w:val="30"/>
          <w:szCs w:val="30"/>
          <w:lang w:val="en-US" w:eastAsia="zh-CN" w:bidi="ar-SA"/>
        </w:rPr>
        <w:t>（五）地质灾害防治工作面临的形势</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_Toc19694 </w:instrText>
      </w:r>
      <w:r>
        <w:rPr>
          <w:rFonts w:hint="eastAsia" w:ascii="仿宋" w:hAnsi="仿宋" w:eastAsia="仿宋" w:cs="仿宋"/>
          <w:sz w:val="30"/>
          <w:szCs w:val="30"/>
        </w:rPr>
        <w:fldChar w:fldCharType="separate"/>
      </w:r>
      <w:r>
        <w:rPr>
          <w:rFonts w:hint="eastAsia" w:ascii="仿宋" w:hAnsi="仿宋" w:eastAsia="仿宋" w:cs="仿宋"/>
          <w:sz w:val="30"/>
          <w:szCs w:val="30"/>
        </w:rPr>
        <w:t>27</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_Toc17601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四、 《规划》 编制原则和基本思路</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_Toc17601 </w:instrText>
      </w:r>
      <w:r>
        <w:rPr>
          <w:rFonts w:hint="eastAsia" w:ascii="仿宋" w:hAnsi="仿宋" w:eastAsia="仿宋" w:cs="仿宋"/>
          <w:sz w:val="30"/>
          <w:szCs w:val="30"/>
        </w:rPr>
        <w:fldChar w:fldCharType="separate"/>
      </w:r>
      <w:r>
        <w:rPr>
          <w:rFonts w:hint="eastAsia" w:ascii="仿宋" w:hAnsi="仿宋" w:eastAsia="仿宋" w:cs="仿宋"/>
          <w:sz w:val="30"/>
          <w:szCs w:val="30"/>
        </w:rPr>
        <w:t>29</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_Toc14143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（一）规划编制原则</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_Toc14143 </w:instrText>
      </w:r>
      <w:r>
        <w:rPr>
          <w:rFonts w:hint="eastAsia" w:ascii="仿宋" w:hAnsi="仿宋" w:eastAsia="仿宋" w:cs="仿宋"/>
          <w:sz w:val="30"/>
          <w:szCs w:val="30"/>
        </w:rPr>
        <w:fldChar w:fldCharType="separate"/>
      </w:r>
      <w:r>
        <w:rPr>
          <w:rFonts w:hint="eastAsia" w:ascii="仿宋" w:hAnsi="仿宋" w:eastAsia="仿宋" w:cs="仿宋"/>
          <w:sz w:val="30"/>
          <w:szCs w:val="30"/>
        </w:rPr>
        <w:t>29</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_Toc6038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（二）规划编制思路</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_Toc6038 </w:instrText>
      </w:r>
      <w:r>
        <w:rPr>
          <w:rFonts w:hint="eastAsia" w:ascii="仿宋" w:hAnsi="仿宋" w:eastAsia="仿宋" w:cs="仿宋"/>
          <w:sz w:val="30"/>
          <w:szCs w:val="30"/>
        </w:rPr>
        <w:fldChar w:fldCharType="separate"/>
      </w:r>
      <w:r>
        <w:rPr>
          <w:rFonts w:hint="eastAsia" w:ascii="仿宋" w:hAnsi="仿宋" w:eastAsia="仿宋" w:cs="仿宋"/>
          <w:sz w:val="30"/>
          <w:szCs w:val="30"/>
        </w:rPr>
        <w:t>31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_Toc15891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五、 《规划》 基本框架和主要内容</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_Toc15891 </w:instrText>
      </w:r>
      <w:r>
        <w:rPr>
          <w:rFonts w:hint="eastAsia" w:ascii="仿宋" w:hAnsi="仿宋" w:eastAsia="仿宋" w:cs="仿宋"/>
          <w:sz w:val="30"/>
          <w:szCs w:val="30"/>
        </w:rPr>
        <w:fldChar w:fldCharType="separate"/>
      </w:r>
      <w:r>
        <w:rPr>
          <w:rFonts w:hint="eastAsia" w:ascii="仿宋" w:hAnsi="仿宋" w:eastAsia="仿宋" w:cs="仿宋"/>
          <w:sz w:val="30"/>
          <w:szCs w:val="30"/>
        </w:rPr>
        <w:t>31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_Toc26433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（一）基本框架</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_Toc26433 </w:instrText>
      </w:r>
      <w:r>
        <w:rPr>
          <w:rFonts w:hint="eastAsia" w:ascii="仿宋" w:hAnsi="仿宋" w:eastAsia="仿宋" w:cs="仿宋"/>
          <w:sz w:val="30"/>
          <w:szCs w:val="30"/>
        </w:rPr>
        <w:fldChar w:fldCharType="separate"/>
      </w:r>
      <w:r>
        <w:rPr>
          <w:rFonts w:hint="eastAsia" w:ascii="仿宋" w:hAnsi="仿宋" w:eastAsia="仿宋" w:cs="仿宋"/>
          <w:sz w:val="30"/>
          <w:szCs w:val="30"/>
        </w:rPr>
        <w:t>31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_Toc31796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（二）主要内容</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_Toc31796 </w:instrText>
      </w:r>
      <w:r>
        <w:rPr>
          <w:rFonts w:hint="eastAsia" w:ascii="仿宋" w:hAnsi="仿宋" w:eastAsia="仿宋" w:cs="仿宋"/>
          <w:sz w:val="30"/>
          <w:szCs w:val="30"/>
        </w:rPr>
        <w:fldChar w:fldCharType="separate"/>
      </w:r>
      <w:r>
        <w:rPr>
          <w:rFonts w:hint="eastAsia" w:ascii="仿宋" w:hAnsi="仿宋" w:eastAsia="仿宋" w:cs="仿宋"/>
          <w:sz w:val="30"/>
          <w:szCs w:val="30"/>
        </w:rPr>
        <w:t>32</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_Toc6295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六、 规划期、规划范围</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_Toc6295 </w:instrText>
      </w:r>
      <w:r>
        <w:rPr>
          <w:rFonts w:hint="eastAsia" w:ascii="仿宋" w:hAnsi="仿宋" w:eastAsia="仿宋" w:cs="仿宋"/>
          <w:sz w:val="30"/>
          <w:szCs w:val="30"/>
        </w:rPr>
        <w:fldChar w:fldCharType="separate"/>
      </w:r>
      <w:r>
        <w:rPr>
          <w:rFonts w:hint="eastAsia" w:ascii="仿宋" w:hAnsi="仿宋" w:eastAsia="仿宋" w:cs="仿宋"/>
          <w:sz w:val="30"/>
          <w:szCs w:val="30"/>
        </w:rPr>
        <w:t>33</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_Toc19367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（一）规划期</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_Toc19367 </w:instrText>
      </w:r>
      <w:r>
        <w:rPr>
          <w:rFonts w:hint="eastAsia" w:ascii="仿宋" w:hAnsi="仿宋" w:eastAsia="仿宋" w:cs="仿宋"/>
          <w:sz w:val="30"/>
          <w:szCs w:val="30"/>
        </w:rPr>
        <w:fldChar w:fldCharType="separate"/>
      </w:r>
      <w:r>
        <w:rPr>
          <w:rFonts w:hint="eastAsia" w:ascii="仿宋" w:hAnsi="仿宋" w:eastAsia="仿宋" w:cs="仿宋"/>
          <w:sz w:val="30"/>
          <w:szCs w:val="30"/>
        </w:rPr>
        <w:t>34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_Toc3074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（二）规划范围</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_Toc3074 </w:instrText>
      </w:r>
      <w:r>
        <w:rPr>
          <w:rFonts w:hint="eastAsia" w:ascii="仿宋" w:hAnsi="仿宋" w:eastAsia="仿宋" w:cs="仿宋"/>
          <w:sz w:val="30"/>
          <w:szCs w:val="30"/>
        </w:rPr>
        <w:fldChar w:fldCharType="separate"/>
      </w:r>
      <w:r>
        <w:rPr>
          <w:rFonts w:hint="eastAsia" w:ascii="仿宋" w:hAnsi="仿宋" w:eastAsia="仿宋" w:cs="仿宋"/>
          <w:sz w:val="30"/>
          <w:szCs w:val="30"/>
        </w:rPr>
        <w:t>34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_Toc10175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七、 地质灾害易发区划分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_Toc10175 </w:instrText>
      </w:r>
      <w:r>
        <w:rPr>
          <w:rFonts w:hint="eastAsia" w:ascii="仿宋" w:hAnsi="仿宋" w:eastAsia="仿宋" w:cs="仿宋"/>
          <w:sz w:val="30"/>
          <w:szCs w:val="30"/>
        </w:rPr>
        <w:fldChar w:fldCharType="separate"/>
      </w:r>
      <w:r>
        <w:rPr>
          <w:rFonts w:hint="eastAsia" w:ascii="仿宋" w:hAnsi="仿宋" w:eastAsia="仿宋" w:cs="仿宋"/>
          <w:sz w:val="30"/>
          <w:szCs w:val="30"/>
        </w:rPr>
        <w:t>34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_Toc16847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（一）划分原则</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_Toc16847 </w:instrText>
      </w:r>
      <w:r>
        <w:rPr>
          <w:rFonts w:hint="eastAsia" w:ascii="仿宋" w:hAnsi="仿宋" w:eastAsia="仿宋" w:cs="仿宋"/>
          <w:sz w:val="30"/>
          <w:szCs w:val="30"/>
        </w:rPr>
        <w:fldChar w:fldCharType="separate"/>
      </w:r>
      <w:r>
        <w:rPr>
          <w:rFonts w:hint="eastAsia" w:ascii="仿宋" w:hAnsi="仿宋" w:eastAsia="仿宋" w:cs="仿宋"/>
          <w:sz w:val="30"/>
          <w:szCs w:val="30"/>
        </w:rPr>
        <w:t>34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_Toc24757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（二）划分方法</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_Toc24757 </w:instrText>
      </w:r>
      <w:r>
        <w:rPr>
          <w:rFonts w:hint="eastAsia" w:ascii="仿宋" w:hAnsi="仿宋" w:eastAsia="仿宋" w:cs="仿宋"/>
          <w:sz w:val="30"/>
          <w:szCs w:val="30"/>
        </w:rPr>
        <w:fldChar w:fldCharType="separate"/>
      </w:r>
      <w:r>
        <w:rPr>
          <w:rFonts w:hint="eastAsia" w:ascii="仿宋" w:hAnsi="仿宋" w:eastAsia="仿宋" w:cs="仿宋"/>
          <w:sz w:val="30"/>
          <w:szCs w:val="30"/>
        </w:rPr>
        <w:t>34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_Toc24049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highlight w:val="none"/>
        </w:rPr>
        <w:t>（三）划分结果</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_Toc24049 </w:instrText>
      </w:r>
      <w:r>
        <w:rPr>
          <w:rFonts w:hint="eastAsia" w:ascii="仿宋" w:hAnsi="仿宋" w:eastAsia="仿宋" w:cs="仿宋"/>
          <w:sz w:val="30"/>
          <w:szCs w:val="30"/>
        </w:rPr>
        <w:fldChar w:fldCharType="separate"/>
      </w:r>
      <w:r>
        <w:rPr>
          <w:rFonts w:hint="eastAsia" w:ascii="仿宋" w:hAnsi="仿宋" w:eastAsia="仿宋" w:cs="仿宋"/>
          <w:sz w:val="30"/>
          <w:szCs w:val="30"/>
        </w:rPr>
        <w:t>37</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_Toc13544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八、 地质灾害防治分区</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_Toc13544 </w:instrText>
      </w:r>
      <w:r>
        <w:rPr>
          <w:rFonts w:hint="eastAsia" w:ascii="仿宋" w:hAnsi="仿宋" w:eastAsia="仿宋" w:cs="仿宋"/>
          <w:sz w:val="30"/>
          <w:szCs w:val="30"/>
        </w:rPr>
        <w:fldChar w:fldCharType="separate"/>
      </w:r>
      <w:r>
        <w:rPr>
          <w:rFonts w:hint="eastAsia" w:ascii="仿宋" w:hAnsi="仿宋" w:eastAsia="仿宋" w:cs="仿宋"/>
          <w:sz w:val="30"/>
          <w:szCs w:val="30"/>
        </w:rPr>
        <w:t>40</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_Toc28338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（一）分区原则</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_Toc28338 </w:instrText>
      </w:r>
      <w:r>
        <w:rPr>
          <w:rFonts w:hint="eastAsia" w:ascii="仿宋" w:hAnsi="仿宋" w:eastAsia="仿宋" w:cs="仿宋"/>
          <w:sz w:val="30"/>
          <w:szCs w:val="30"/>
        </w:rPr>
        <w:fldChar w:fldCharType="separate"/>
      </w:r>
      <w:r>
        <w:rPr>
          <w:rFonts w:hint="eastAsia" w:ascii="仿宋" w:hAnsi="仿宋" w:eastAsia="仿宋" w:cs="仿宋"/>
          <w:sz w:val="30"/>
          <w:szCs w:val="30"/>
        </w:rPr>
        <w:t>40</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_Toc17718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（二）分区方法</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_Toc17718 </w:instrText>
      </w:r>
      <w:r>
        <w:rPr>
          <w:rFonts w:hint="eastAsia" w:ascii="仿宋" w:hAnsi="仿宋" w:eastAsia="仿宋" w:cs="仿宋"/>
          <w:sz w:val="30"/>
          <w:szCs w:val="30"/>
        </w:rPr>
        <w:fldChar w:fldCharType="separate"/>
      </w:r>
      <w:r>
        <w:rPr>
          <w:rFonts w:hint="eastAsia" w:ascii="仿宋" w:hAnsi="仿宋" w:eastAsia="仿宋" w:cs="仿宋"/>
          <w:sz w:val="30"/>
          <w:szCs w:val="30"/>
        </w:rPr>
        <w:t>40</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_Toc13875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highlight w:val="none"/>
        </w:rPr>
        <w:t>（三）分区</w:t>
      </w:r>
      <w:r>
        <w:rPr>
          <w:rFonts w:hint="eastAsia" w:ascii="仿宋" w:hAnsi="仿宋" w:eastAsia="仿宋" w:cs="仿宋"/>
          <w:sz w:val="30"/>
          <w:szCs w:val="30"/>
        </w:rPr>
        <w:t>结果</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_Toc13875 </w:instrText>
      </w:r>
      <w:r>
        <w:rPr>
          <w:rFonts w:hint="eastAsia" w:ascii="仿宋" w:hAnsi="仿宋" w:eastAsia="仿宋" w:cs="仿宋"/>
          <w:sz w:val="30"/>
          <w:szCs w:val="30"/>
        </w:rPr>
        <w:fldChar w:fldCharType="separate"/>
      </w:r>
      <w:r>
        <w:rPr>
          <w:rFonts w:hint="eastAsia" w:ascii="仿宋" w:hAnsi="仿宋" w:eastAsia="仿宋" w:cs="仿宋"/>
          <w:sz w:val="30"/>
          <w:szCs w:val="30"/>
        </w:rPr>
        <w:t>41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_Toc17680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九、 项目确定的依据和可行性</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_Toc17680 </w:instrText>
      </w:r>
      <w:r>
        <w:rPr>
          <w:rFonts w:hint="eastAsia" w:ascii="仿宋" w:hAnsi="仿宋" w:eastAsia="仿宋" w:cs="仿宋"/>
          <w:sz w:val="30"/>
          <w:szCs w:val="30"/>
        </w:rPr>
        <w:fldChar w:fldCharType="separate"/>
      </w:r>
      <w:r>
        <w:rPr>
          <w:rFonts w:hint="eastAsia" w:ascii="仿宋" w:hAnsi="仿宋" w:eastAsia="仿宋" w:cs="仿宋"/>
          <w:sz w:val="30"/>
          <w:szCs w:val="30"/>
        </w:rPr>
        <w:t>43</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_Toc29867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（一）项目确定依据</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_Toc29867 </w:instrText>
      </w:r>
      <w:r>
        <w:rPr>
          <w:rFonts w:hint="eastAsia" w:ascii="仿宋" w:hAnsi="仿宋" w:eastAsia="仿宋" w:cs="仿宋"/>
          <w:sz w:val="30"/>
          <w:szCs w:val="30"/>
        </w:rPr>
        <w:fldChar w:fldCharType="separate"/>
      </w:r>
      <w:r>
        <w:rPr>
          <w:rFonts w:hint="eastAsia" w:ascii="仿宋" w:hAnsi="仿宋" w:eastAsia="仿宋" w:cs="仿宋"/>
          <w:sz w:val="30"/>
          <w:szCs w:val="30"/>
        </w:rPr>
        <w:t>43</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_Toc3124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（二）项目实施可行性</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_Toc3124 </w:instrText>
      </w:r>
      <w:r>
        <w:rPr>
          <w:rFonts w:hint="eastAsia" w:ascii="仿宋" w:hAnsi="仿宋" w:eastAsia="仿宋" w:cs="仿宋"/>
          <w:sz w:val="30"/>
          <w:szCs w:val="30"/>
        </w:rPr>
        <w:fldChar w:fldCharType="separate"/>
      </w:r>
      <w:r>
        <w:rPr>
          <w:rFonts w:hint="eastAsia" w:ascii="仿宋" w:hAnsi="仿宋" w:eastAsia="仿宋" w:cs="仿宋"/>
          <w:sz w:val="30"/>
          <w:szCs w:val="30"/>
        </w:rPr>
        <w:t>44</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_Toc25018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十、 地质灾害防治经费预算说明</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_Toc25018 </w:instrText>
      </w:r>
      <w:r>
        <w:rPr>
          <w:rFonts w:hint="eastAsia" w:ascii="仿宋" w:hAnsi="仿宋" w:eastAsia="仿宋" w:cs="仿宋"/>
          <w:sz w:val="30"/>
          <w:szCs w:val="30"/>
        </w:rPr>
        <w:fldChar w:fldCharType="separate"/>
      </w:r>
      <w:r>
        <w:rPr>
          <w:rFonts w:hint="eastAsia" w:ascii="仿宋" w:hAnsi="仿宋" w:eastAsia="仿宋" w:cs="仿宋"/>
          <w:sz w:val="30"/>
          <w:szCs w:val="30"/>
        </w:rPr>
        <w:t>45</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_Toc7988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（一）预算项目</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_Toc7988 </w:instrText>
      </w:r>
      <w:r>
        <w:rPr>
          <w:rFonts w:hint="eastAsia" w:ascii="仿宋" w:hAnsi="仿宋" w:eastAsia="仿宋" w:cs="仿宋"/>
          <w:sz w:val="30"/>
          <w:szCs w:val="30"/>
        </w:rPr>
        <w:fldChar w:fldCharType="separate"/>
      </w:r>
      <w:r>
        <w:rPr>
          <w:rFonts w:hint="eastAsia" w:ascii="仿宋" w:hAnsi="仿宋" w:eastAsia="仿宋" w:cs="仿宋"/>
          <w:sz w:val="30"/>
          <w:szCs w:val="30"/>
        </w:rPr>
        <w:t>45</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_Toc13653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（二）预算依据</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_Toc13653 </w:instrText>
      </w:r>
      <w:r>
        <w:rPr>
          <w:rFonts w:hint="eastAsia" w:ascii="仿宋" w:hAnsi="仿宋" w:eastAsia="仿宋" w:cs="仿宋"/>
          <w:sz w:val="30"/>
          <w:szCs w:val="30"/>
        </w:rPr>
        <w:fldChar w:fldCharType="separate"/>
      </w:r>
      <w:r>
        <w:rPr>
          <w:rFonts w:hint="eastAsia" w:ascii="仿宋" w:hAnsi="仿宋" w:eastAsia="仿宋" w:cs="仿宋"/>
          <w:sz w:val="30"/>
          <w:szCs w:val="30"/>
        </w:rPr>
        <w:t>45</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_Toc11568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highlight w:val="none"/>
        </w:rPr>
        <w:t>（三）预算结果</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_Toc11568 </w:instrText>
      </w:r>
      <w:r>
        <w:rPr>
          <w:rFonts w:hint="eastAsia" w:ascii="仿宋" w:hAnsi="仿宋" w:eastAsia="仿宋" w:cs="仿宋"/>
          <w:sz w:val="30"/>
          <w:szCs w:val="30"/>
        </w:rPr>
        <w:fldChar w:fldCharType="separate"/>
      </w:r>
      <w:r>
        <w:rPr>
          <w:rFonts w:hint="eastAsia" w:ascii="仿宋" w:hAnsi="仿宋" w:eastAsia="仿宋" w:cs="仿宋"/>
          <w:sz w:val="30"/>
          <w:szCs w:val="30"/>
        </w:rPr>
        <w:t>46</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_Toc25878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十一、 规划实施保障措施</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_Toc25878 </w:instrText>
      </w:r>
      <w:r>
        <w:rPr>
          <w:rFonts w:hint="eastAsia" w:ascii="仿宋" w:hAnsi="仿宋" w:eastAsia="仿宋" w:cs="仿宋"/>
          <w:sz w:val="30"/>
          <w:szCs w:val="30"/>
        </w:rPr>
        <w:fldChar w:fldCharType="separate"/>
      </w:r>
      <w:r>
        <w:rPr>
          <w:rFonts w:hint="eastAsia" w:ascii="仿宋" w:hAnsi="仿宋" w:eastAsia="仿宋" w:cs="仿宋"/>
          <w:sz w:val="30"/>
          <w:szCs w:val="30"/>
        </w:rPr>
        <w:t>48</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_Toc13424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（一）加强组织领导，明确责任分工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_Toc13424 </w:instrText>
      </w:r>
      <w:r>
        <w:rPr>
          <w:rFonts w:hint="eastAsia" w:ascii="仿宋" w:hAnsi="仿宋" w:eastAsia="仿宋" w:cs="仿宋"/>
          <w:sz w:val="30"/>
          <w:szCs w:val="30"/>
        </w:rPr>
        <w:fldChar w:fldCharType="separate"/>
      </w:r>
      <w:r>
        <w:rPr>
          <w:rFonts w:hint="eastAsia" w:ascii="仿宋" w:hAnsi="仿宋" w:eastAsia="仿宋" w:cs="仿宋"/>
          <w:sz w:val="30"/>
          <w:szCs w:val="30"/>
        </w:rPr>
        <w:t>48</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_Toc8430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（二）坚持依法防灾，完善制度建设</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_Toc8430 </w:instrText>
      </w:r>
      <w:r>
        <w:rPr>
          <w:rFonts w:hint="eastAsia" w:ascii="仿宋" w:hAnsi="仿宋" w:eastAsia="仿宋" w:cs="仿宋"/>
          <w:sz w:val="30"/>
          <w:szCs w:val="30"/>
        </w:rPr>
        <w:fldChar w:fldCharType="separate"/>
      </w:r>
      <w:r>
        <w:rPr>
          <w:rFonts w:hint="eastAsia" w:ascii="仿宋" w:hAnsi="仿宋" w:eastAsia="仿宋" w:cs="仿宋"/>
          <w:sz w:val="30"/>
          <w:szCs w:val="30"/>
        </w:rPr>
        <w:t>49</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_Toc19650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（三）加大资金投入，健全经费保障</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_Toc19650 </w:instrText>
      </w:r>
      <w:r>
        <w:rPr>
          <w:rFonts w:hint="eastAsia" w:ascii="仿宋" w:hAnsi="仿宋" w:eastAsia="仿宋" w:cs="仿宋"/>
          <w:sz w:val="30"/>
          <w:szCs w:val="30"/>
        </w:rPr>
        <w:fldChar w:fldCharType="separate"/>
      </w:r>
      <w:r>
        <w:rPr>
          <w:rFonts w:hint="eastAsia" w:ascii="仿宋" w:hAnsi="仿宋" w:eastAsia="仿宋" w:cs="仿宋"/>
          <w:sz w:val="30"/>
          <w:szCs w:val="30"/>
        </w:rPr>
        <w:t>49</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_Toc12942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（四）完善支撑体系，强化技术支撑</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_Toc12942 </w:instrText>
      </w:r>
      <w:r>
        <w:rPr>
          <w:rFonts w:hint="eastAsia" w:ascii="仿宋" w:hAnsi="仿宋" w:eastAsia="仿宋" w:cs="仿宋"/>
          <w:sz w:val="30"/>
          <w:szCs w:val="30"/>
        </w:rPr>
        <w:fldChar w:fldCharType="separate"/>
      </w:r>
      <w:r>
        <w:rPr>
          <w:rFonts w:hint="eastAsia" w:ascii="仿宋" w:hAnsi="仿宋" w:eastAsia="仿宋" w:cs="仿宋"/>
          <w:sz w:val="30"/>
          <w:szCs w:val="30"/>
        </w:rPr>
        <w:t>50</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_Toc19906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（五）加强宣传培训，提高防灾能力</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_Toc19906 </w:instrText>
      </w:r>
      <w:r>
        <w:rPr>
          <w:rFonts w:hint="eastAsia" w:ascii="仿宋" w:hAnsi="仿宋" w:eastAsia="仿宋" w:cs="仿宋"/>
          <w:sz w:val="30"/>
          <w:szCs w:val="30"/>
        </w:rPr>
        <w:fldChar w:fldCharType="separate"/>
      </w:r>
      <w:r>
        <w:rPr>
          <w:rFonts w:hint="eastAsia" w:ascii="仿宋" w:hAnsi="仿宋" w:eastAsia="仿宋" w:cs="仿宋"/>
          <w:sz w:val="30"/>
          <w:szCs w:val="30"/>
        </w:rPr>
        <w:t>50</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_Toc15625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（六）引进激励机制，用好奖惩措施</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_Toc15625 </w:instrText>
      </w:r>
      <w:r>
        <w:rPr>
          <w:rFonts w:hint="eastAsia" w:ascii="仿宋" w:hAnsi="仿宋" w:eastAsia="仿宋" w:cs="仿宋"/>
          <w:sz w:val="30"/>
          <w:szCs w:val="30"/>
        </w:rPr>
        <w:fldChar w:fldCharType="separate"/>
      </w:r>
      <w:r>
        <w:rPr>
          <w:rFonts w:hint="eastAsia" w:ascii="仿宋" w:hAnsi="仿宋" w:eastAsia="仿宋" w:cs="仿宋"/>
          <w:sz w:val="30"/>
          <w:szCs w:val="30"/>
        </w:rPr>
        <w:t>50</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_Toc30847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十二、 与相关规划的衔接情况</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_Toc30847 </w:instrText>
      </w:r>
      <w:r>
        <w:rPr>
          <w:rFonts w:hint="eastAsia" w:ascii="仿宋" w:hAnsi="仿宋" w:eastAsia="仿宋" w:cs="仿宋"/>
          <w:sz w:val="30"/>
          <w:szCs w:val="30"/>
        </w:rPr>
        <w:fldChar w:fldCharType="separate"/>
      </w:r>
      <w:r>
        <w:rPr>
          <w:rFonts w:hint="eastAsia" w:ascii="仿宋" w:hAnsi="仿宋" w:eastAsia="仿宋" w:cs="仿宋"/>
          <w:sz w:val="30"/>
          <w:szCs w:val="30"/>
        </w:rPr>
        <w:t>51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_Toc1648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（一）与省级</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市级</w:t>
      </w:r>
      <w:r>
        <w:rPr>
          <w:rFonts w:hint="eastAsia" w:ascii="仿宋" w:hAnsi="仿宋" w:eastAsia="仿宋" w:cs="仿宋"/>
          <w:sz w:val="30"/>
          <w:szCs w:val="30"/>
        </w:rPr>
        <w:t>规划的衔接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_Toc1648 </w:instrText>
      </w:r>
      <w:r>
        <w:rPr>
          <w:rFonts w:hint="eastAsia" w:ascii="仿宋" w:hAnsi="仿宋" w:eastAsia="仿宋" w:cs="仿宋"/>
          <w:sz w:val="30"/>
          <w:szCs w:val="30"/>
        </w:rPr>
        <w:fldChar w:fldCharType="separate"/>
      </w:r>
      <w:r>
        <w:rPr>
          <w:rFonts w:hint="eastAsia" w:ascii="仿宋" w:hAnsi="仿宋" w:eastAsia="仿宋" w:cs="仿宋"/>
          <w:sz w:val="30"/>
          <w:szCs w:val="30"/>
        </w:rPr>
        <w:t>51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_Toc18193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（二）与国民经济社会发展规划的衔接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_Toc18193 </w:instrText>
      </w:r>
      <w:r>
        <w:rPr>
          <w:rFonts w:hint="eastAsia" w:ascii="仿宋" w:hAnsi="仿宋" w:eastAsia="仿宋" w:cs="仿宋"/>
          <w:sz w:val="30"/>
          <w:szCs w:val="30"/>
        </w:rPr>
        <w:fldChar w:fldCharType="separate"/>
      </w:r>
      <w:r>
        <w:rPr>
          <w:rFonts w:hint="eastAsia" w:ascii="仿宋" w:hAnsi="仿宋" w:eastAsia="仿宋" w:cs="仿宋"/>
          <w:sz w:val="30"/>
          <w:szCs w:val="30"/>
        </w:rPr>
        <w:t>51</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12"/>
        <w:tabs>
          <w:tab w:val="right" w:leader="dot" w:pos="9072"/>
        </w:tabs>
        <w:rPr>
          <w:rFonts w:hint="eastAsia" w:ascii="仿宋" w:hAnsi="仿宋" w:eastAsia="仿宋" w:cs="仿宋"/>
          <w:sz w:val="30"/>
          <w:szCs w:val="30"/>
        </w:rPr>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_Toc898 </w:instrText>
      </w:r>
      <w:r>
        <w:rPr>
          <w:rFonts w:hint="eastAsia" w:ascii="仿宋" w:hAnsi="仿宋" w:eastAsia="仿宋" w:cs="仿宋"/>
          <w:bCs/>
          <w:i w:val="0"/>
          <w:iCs w:val="0"/>
          <w:sz w:val="30"/>
          <w:szCs w:val="30"/>
        </w:rPr>
        <w:fldChar w:fldCharType="separate"/>
      </w:r>
      <w:r>
        <w:rPr>
          <w:rFonts w:hint="eastAsia" w:ascii="仿宋" w:hAnsi="仿宋" w:eastAsia="仿宋" w:cs="仿宋"/>
          <w:sz w:val="30"/>
          <w:szCs w:val="30"/>
        </w:rPr>
        <w:t>（三）与其它行业规划的衔接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_Toc898 </w:instrText>
      </w:r>
      <w:r>
        <w:rPr>
          <w:rFonts w:hint="eastAsia" w:ascii="仿宋" w:hAnsi="仿宋" w:eastAsia="仿宋" w:cs="仿宋"/>
          <w:sz w:val="30"/>
          <w:szCs w:val="30"/>
        </w:rPr>
        <w:fldChar w:fldCharType="separate"/>
      </w:r>
      <w:r>
        <w:rPr>
          <w:rFonts w:hint="eastAsia" w:ascii="仿宋" w:hAnsi="仿宋" w:eastAsia="仿宋" w:cs="仿宋"/>
          <w:sz w:val="30"/>
          <w:szCs w:val="30"/>
        </w:rPr>
        <w:t>52</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pStyle w:val="20"/>
        <w:tabs>
          <w:tab w:val="right" w:leader="dot" w:pos="9072"/>
        </w:tabs>
      </w:pPr>
      <w:r>
        <w:rPr>
          <w:rFonts w:hint="eastAsia" w:ascii="仿宋" w:hAnsi="仿宋" w:eastAsia="仿宋" w:cs="仿宋"/>
          <w:bCs/>
          <w:i w:val="0"/>
          <w:iCs w:val="0"/>
          <w:color w:val="auto"/>
          <w:sz w:val="30"/>
          <w:szCs w:val="30"/>
        </w:rPr>
        <w:fldChar w:fldCharType="begin"/>
      </w:r>
      <w:r>
        <w:rPr>
          <w:rFonts w:hint="eastAsia" w:ascii="仿宋" w:hAnsi="仿宋" w:eastAsia="仿宋" w:cs="仿宋"/>
          <w:bCs/>
          <w:i w:val="0"/>
          <w:iCs w:val="0"/>
          <w:sz w:val="30"/>
          <w:szCs w:val="30"/>
        </w:rPr>
        <w:instrText xml:space="preserve"> HYPERLINK \l _Toc23071 </w:instrText>
      </w:r>
      <w:r>
        <w:rPr>
          <w:rFonts w:hint="eastAsia" w:ascii="仿宋" w:hAnsi="仿宋" w:eastAsia="仿宋" w:cs="仿宋"/>
          <w:bCs/>
          <w:i w:val="0"/>
          <w:iCs w:val="0"/>
          <w:sz w:val="30"/>
          <w:szCs w:val="30"/>
        </w:rPr>
        <w:fldChar w:fldCharType="separate"/>
      </w:r>
      <w:r>
        <w:rPr>
          <w:rFonts w:hint="eastAsia" w:ascii="仿宋" w:hAnsi="仿宋" w:eastAsia="仿宋" w:cs="仿宋"/>
          <w:kern w:val="44"/>
          <w:sz w:val="30"/>
          <w:szCs w:val="30"/>
        </w:rPr>
        <w:t>十三、 相关部门意见征求反馈情况</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_Toc23071 </w:instrText>
      </w:r>
      <w:r>
        <w:rPr>
          <w:rFonts w:hint="eastAsia" w:ascii="仿宋" w:hAnsi="仿宋" w:eastAsia="仿宋" w:cs="仿宋"/>
          <w:sz w:val="30"/>
          <w:szCs w:val="30"/>
        </w:rPr>
        <w:fldChar w:fldCharType="separate"/>
      </w:r>
      <w:r>
        <w:rPr>
          <w:rFonts w:hint="eastAsia" w:ascii="仿宋" w:hAnsi="仿宋" w:eastAsia="仿宋" w:cs="仿宋"/>
          <w:sz w:val="30"/>
          <w:szCs w:val="30"/>
        </w:rPr>
        <w:t>52</w:t>
      </w:r>
      <w:r>
        <w:rPr>
          <w:rFonts w:hint="eastAsia" w:ascii="仿宋" w:hAnsi="仿宋" w:eastAsia="仿宋" w:cs="仿宋"/>
          <w:sz w:val="30"/>
          <w:szCs w:val="30"/>
        </w:rPr>
        <w:fldChar w:fldCharType="end"/>
      </w:r>
      <w:r>
        <w:rPr>
          <w:rFonts w:hint="eastAsia" w:ascii="仿宋" w:hAnsi="仿宋" w:eastAsia="仿宋" w:cs="仿宋"/>
          <w:bCs/>
          <w:i w:val="0"/>
          <w:iCs w:val="0"/>
          <w:color w:val="auto"/>
          <w:sz w:val="30"/>
          <w:szCs w:val="30"/>
        </w:rPr>
        <w:fldChar w:fldCharType="end"/>
      </w:r>
    </w:p>
    <w:p>
      <w:pPr>
        <w:keepNext w:val="0"/>
        <w:keepLines w:val="0"/>
        <w:pageBreakBefore w:val="0"/>
        <w:widowControl w:val="0"/>
        <w:kinsoku/>
        <w:wordWrap/>
        <w:overflowPunct/>
        <w:topLinePunct w:val="0"/>
        <w:autoSpaceDE/>
        <w:autoSpaceDN/>
        <w:bidi w:val="0"/>
        <w:adjustRightInd/>
        <w:snapToGrid/>
        <w:spacing w:line="520" w:lineRule="exact"/>
        <w:ind w:firstLine="420" w:firstLineChars="200"/>
        <w:jc w:val="both"/>
        <w:textAlignment w:val="auto"/>
        <w:rPr>
          <w:rFonts w:ascii="仿宋" w:hAnsi="仿宋" w:eastAsia="仿宋"/>
          <w:b/>
          <w:color w:val="auto"/>
          <w:sz w:val="30"/>
          <w:szCs w:val="30"/>
        </w:rPr>
      </w:pPr>
      <w:r>
        <w:rPr>
          <w:rFonts w:hint="eastAsia" w:ascii="仿宋" w:hAnsi="仿宋" w:eastAsia="仿宋" w:cs="仿宋"/>
          <w:bCs/>
          <w:i w:val="0"/>
          <w:iCs w:val="0"/>
          <w:color w:val="auto"/>
          <w:szCs w:val="30"/>
        </w:rPr>
        <w:fldChar w:fldCharType="end"/>
      </w:r>
      <w:bookmarkStart w:id="1" w:name="_Toc263922919"/>
      <w:bookmarkStart w:id="2" w:name="_Toc263923328"/>
      <w:r>
        <w:rPr>
          <w:rFonts w:hint="eastAsia" w:ascii="仿宋" w:hAnsi="仿宋" w:eastAsia="仿宋" w:cs="仿宋"/>
          <w:bCs/>
          <w:i w:val="0"/>
          <w:iCs w:val="0"/>
          <w:color w:val="auto"/>
          <w:szCs w:val="30"/>
          <w:lang w:val="en-US" w:eastAsia="zh-CN"/>
        </w:rPr>
        <w:t xml:space="preserve">  </w:t>
      </w:r>
      <w:r>
        <w:rPr>
          <w:rFonts w:ascii="仿宋" w:hAnsi="仿宋" w:eastAsia="仿宋"/>
          <w:b/>
          <w:color w:val="auto"/>
          <w:sz w:val="30"/>
          <w:szCs w:val="30"/>
        </w:rPr>
        <w:t>附</w:t>
      </w:r>
      <w:r>
        <w:rPr>
          <w:rFonts w:hint="eastAsia" w:ascii="仿宋" w:hAnsi="仿宋" w:eastAsia="仿宋"/>
          <w:b/>
          <w:color w:val="auto"/>
          <w:sz w:val="30"/>
          <w:szCs w:val="30"/>
        </w:rPr>
        <w:t>件</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hint="eastAsia" w:ascii="仿宋" w:hAnsi="仿宋" w:eastAsia="仿宋"/>
          <w:color w:val="auto"/>
          <w:sz w:val="30"/>
          <w:szCs w:val="30"/>
          <w:highlight w:val="none"/>
        </w:rPr>
      </w:pPr>
      <w:r>
        <w:rPr>
          <w:rFonts w:hint="eastAsia" w:ascii="仿宋" w:hAnsi="仿宋" w:eastAsia="仿宋"/>
          <w:color w:val="auto"/>
          <w:sz w:val="30"/>
          <w:szCs w:val="30"/>
          <w:highlight w:val="none"/>
        </w:rPr>
        <w:t>附件一  相关部门征示意见</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highlight w:val="none"/>
        </w:rPr>
      </w:pPr>
      <w:r>
        <w:rPr>
          <w:rFonts w:hint="eastAsia" w:ascii="仿宋" w:hAnsi="仿宋" w:eastAsia="仿宋"/>
          <w:color w:val="auto"/>
          <w:sz w:val="30"/>
          <w:szCs w:val="30"/>
          <w:highlight w:val="none"/>
        </w:rPr>
        <w:t>附件</w:t>
      </w:r>
      <w:r>
        <w:rPr>
          <w:rFonts w:hint="eastAsia" w:ascii="仿宋" w:hAnsi="仿宋" w:eastAsia="仿宋"/>
          <w:color w:val="auto"/>
          <w:sz w:val="30"/>
          <w:szCs w:val="30"/>
          <w:highlight w:val="none"/>
          <w:lang w:val="en-US" w:eastAsia="zh-CN"/>
        </w:rPr>
        <w:t>二</w:t>
      </w:r>
      <w:r>
        <w:rPr>
          <w:rFonts w:hint="eastAsia" w:ascii="仿宋" w:hAnsi="仿宋" w:eastAsia="仿宋"/>
          <w:color w:val="auto"/>
          <w:sz w:val="30"/>
          <w:szCs w:val="30"/>
          <w:highlight w:val="none"/>
        </w:rPr>
        <w:t xml:space="preserve"> </w:t>
      </w:r>
      <w:r>
        <w:rPr>
          <w:rFonts w:hint="eastAsia" w:ascii="仿宋" w:hAnsi="仿宋" w:eastAsia="仿宋"/>
          <w:color w:val="auto"/>
          <w:sz w:val="30"/>
          <w:szCs w:val="30"/>
          <w:highlight w:val="none"/>
          <w:lang w:val="en-US" w:eastAsia="zh-CN"/>
        </w:rPr>
        <w:t xml:space="preserve"> 专家审查</w:t>
      </w:r>
      <w:r>
        <w:rPr>
          <w:rFonts w:hint="eastAsia" w:ascii="仿宋" w:hAnsi="仿宋" w:eastAsia="仿宋"/>
          <w:color w:val="auto"/>
          <w:sz w:val="30"/>
          <w:szCs w:val="30"/>
          <w:highlight w:val="none"/>
        </w:rPr>
        <w:t>意见</w:t>
      </w:r>
    </w:p>
    <w:p>
      <w:pPr>
        <w:pStyle w:val="2"/>
      </w:pPr>
    </w:p>
    <w:p>
      <w:pPr>
        <w:keepNext w:val="0"/>
        <w:keepLines w:val="0"/>
        <w:pageBreakBefore w:val="0"/>
        <w:widowControl w:val="0"/>
        <w:kinsoku/>
        <w:wordWrap/>
        <w:overflowPunct/>
        <w:topLinePunct w:val="0"/>
        <w:autoSpaceDE/>
        <w:autoSpaceDN/>
        <w:bidi w:val="0"/>
        <w:adjustRightInd/>
        <w:snapToGrid/>
        <w:spacing w:line="520" w:lineRule="exact"/>
        <w:ind w:firstLine="602" w:firstLineChars="200"/>
        <w:jc w:val="both"/>
        <w:textAlignment w:val="auto"/>
        <w:rPr>
          <w:rFonts w:ascii="仿宋" w:hAnsi="仿宋" w:eastAsia="仿宋"/>
          <w:b/>
          <w:color w:val="auto"/>
          <w:sz w:val="30"/>
          <w:szCs w:val="30"/>
        </w:rPr>
      </w:pPr>
      <w:r>
        <w:rPr>
          <w:rFonts w:ascii="仿宋" w:hAnsi="仿宋" w:eastAsia="仿宋"/>
          <w:b/>
          <w:color w:val="auto"/>
          <w:sz w:val="30"/>
          <w:szCs w:val="30"/>
        </w:rPr>
        <w:t>附表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hint="eastAsia" w:ascii="仿宋" w:hAnsi="仿宋" w:eastAsia="仿宋"/>
          <w:color w:val="auto"/>
          <w:sz w:val="30"/>
          <w:szCs w:val="30"/>
        </w:rPr>
      </w:pPr>
      <w:r>
        <w:rPr>
          <w:rFonts w:hint="eastAsia" w:ascii="仿宋" w:hAnsi="仿宋" w:eastAsia="仿宋"/>
          <w:color w:val="auto"/>
          <w:sz w:val="30"/>
          <w:szCs w:val="30"/>
        </w:rPr>
        <w:t xml:space="preserve">附表一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“十四五”地质灾害防治经费估算总表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hint="eastAsia" w:ascii="仿宋" w:hAnsi="仿宋" w:eastAsia="仿宋"/>
          <w:color w:val="auto"/>
          <w:sz w:val="30"/>
          <w:szCs w:val="30"/>
        </w:rPr>
      </w:pPr>
      <w:r>
        <w:rPr>
          <w:rFonts w:hint="eastAsia" w:ascii="仿宋" w:hAnsi="仿宋" w:eastAsia="仿宋"/>
          <w:color w:val="auto"/>
          <w:sz w:val="30"/>
          <w:szCs w:val="30"/>
        </w:rPr>
        <w:t xml:space="preserve">附表二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“十四五”调查评价项目安排及经费估算</w:t>
      </w:r>
      <w:r>
        <w:rPr>
          <w:rFonts w:hint="eastAsia" w:ascii="仿宋" w:hAnsi="仿宋" w:eastAsia="仿宋"/>
          <w:color w:val="auto"/>
          <w:sz w:val="30"/>
          <w:szCs w:val="30"/>
          <w:lang w:val="en-US" w:eastAsia="zh-CN"/>
        </w:rPr>
        <w:t xml:space="preserve"> </w:t>
      </w:r>
      <w:r>
        <w:rPr>
          <w:rFonts w:hint="eastAsia" w:ascii="仿宋" w:hAnsi="仿宋" w:eastAsia="仿宋"/>
          <w:color w:val="auto"/>
          <w:sz w:val="30"/>
          <w:szCs w:val="30"/>
        </w:rPr>
        <w:t>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hint="eastAsia" w:ascii="仿宋" w:hAnsi="仿宋" w:eastAsia="仿宋"/>
          <w:color w:val="auto"/>
          <w:sz w:val="30"/>
          <w:szCs w:val="30"/>
        </w:rPr>
        <w:t xml:space="preserve">附表三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 xml:space="preserve"> “十四五”地质灾害监测预警项目安排及经费估算表</w:t>
      </w:r>
      <w:r>
        <w:rPr>
          <w:rFonts w:ascii="仿宋" w:hAnsi="仿宋" w:eastAsia="仿宋"/>
          <w:color w:val="auto"/>
          <w:sz w:val="30"/>
          <w:szCs w:val="30"/>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hint="eastAsia" w:ascii="仿宋" w:hAnsi="仿宋" w:eastAsia="仿宋"/>
          <w:color w:val="auto"/>
          <w:sz w:val="30"/>
          <w:szCs w:val="30"/>
        </w:rPr>
        <w:t xml:space="preserve">附表四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“十四五”地质灾害点搬迁避让一览表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hint="eastAsia" w:ascii="仿宋" w:hAnsi="仿宋" w:eastAsia="仿宋"/>
          <w:color w:val="auto"/>
          <w:sz w:val="30"/>
          <w:szCs w:val="30"/>
        </w:rPr>
        <w:t xml:space="preserve">附表五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“十四五”地质灾害点排危除险一览表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hint="eastAsia" w:ascii="仿宋" w:hAnsi="仿宋" w:eastAsia="仿宋"/>
          <w:color w:val="auto"/>
          <w:sz w:val="30"/>
          <w:szCs w:val="30"/>
        </w:rPr>
        <w:t xml:space="preserve">附表六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“十四五”地质灾害点工程治理一览表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hint="eastAsia" w:ascii="仿宋" w:hAnsi="仿宋" w:eastAsia="仿宋"/>
          <w:color w:val="auto"/>
          <w:sz w:val="30"/>
          <w:szCs w:val="30"/>
        </w:rPr>
        <w:t xml:space="preserve">附表七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“十四五”地质灾害基层防治能力经费估算表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hint="eastAsia" w:ascii="仿宋" w:hAnsi="仿宋" w:eastAsia="仿宋"/>
          <w:color w:val="auto"/>
          <w:sz w:val="30"/>
          <w:szCs w:val="30"/>
        </w:rPr>
        <w:t>附表</w:t>
      </w:r>
      <w:r>
        <w:rPr>
          <w:rFonts w:hint="eastAsia" w:ascii="仿宋" w:hAnsi="仿宋" w:eastAsia="仿宋"/>
          <w:color w:val="auto"/>
          <w:sz w:val="30"/>
          <w:szCs w:val="30"/>
          <w:highlight w:val="none"/>
        </w:rPr>
        <w:t xml:space="preserve">八  </w:t>
      </w:r>
      <w:r>
        <w:rPr>
          <w:rFonts w:hint="eastAsia" w:ascii="仿宋" w:hAnsi="仿宋" w:eastAsia="仿宋"/>
          <w:color w:val="auto"/>
          <w:sz w:val="30"/>
          <w:szCs w:val="30"/>
          <w:highlight w:val="none"/>
          <w:lang w:val="en-US" w:eastAsia="zh-CN"/>
        </w:rPr>
        <w:t>东</w:t>
      </w:r>
      <w:r>
        <w:rPr>
          <w:rFonts w:hint="eastAsia" w:ascii="仿宋" w:hAnsi="仿宋" w:eastAsia="仿宋"/>
          <w:color w:val="auto"/>
          <w:sz w:val="30"/>
          <w:szCs w:val="30"/>
          <w:lang w:val="en-US" w:eastAsia="zh-CN"/>
        </w:rPr>
        <w:t>至县</w:t>
      </w:r>
      <w:r>
        <w:rPr>
          <w:rFonts w:hint="eastAsia" w:ascii="仿宋" w:hAnsi="仿宋" w:eastAsia="仿宋"/>
          <w:color w:val="auto"/>
          <w:sz w:val="30"/>
          <w:szCs w:val="30"/>
        </w:rPr>
        <w:t>“十四五”地质灾害信息系统建设规划及经费估算表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hint="default" w:ascii="仿宋" w:hAnsi="仿宋" w:eastAsia="仿宋"/>
          <w:color w:val="auto"/>
          <w:sz w:val="30"/>
          <w:szCs w:val="30"/>
          <w:lang w:val="en-US"/>
        </w:rPr>
      </w:pPr>
      <w:r>
        <w:rPr>
          <w:rFonts w:hint="eastAsia" w:ascii="仿宋" w:hAnsi="仿宋" w:eastAsia="仿宋"/>
          <w:color w:val="auto"/>
          <w:sz w:val="30"/>
          <w:szCs w:val="30"/>
        </w:rPr>
        <w:t xml:space="preserve">附表九  </w:t>
      </w:r>
      <w:r>
        <w:rPr>
          <w:rFonts w:hint="eastAsia" w:ascii="仿宋" w:hAnsi="仿宋" w:eastAsia="仿宋"/>
          <w:color w:val="auto"/>
          <w:sz w:val="30"/>
          <w:szCs w:val="30"/>
          <w:lang w:val="en-US" w:eastAsia="zh-CN"/>
        </w:rPr>
        <w:t>东至县“十四五”重点乡镇1：1 万地质灾害详细调查表</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hint="default" w:eastAsia="仿宋"/>
          <w:lang w:val="en-US" w:eastAsia="zh-CN"/>
        </w:rPr>
      </w:pPr>
      <w:r>
        <w:rPr>
          <w:rFonts w:hint="eastAsia" w:ascii="仿宋" w:hAnsi="仿宋" w:eastAsia="仿宋"/>
          <w:color w:val="auto"/>
          <w:sz w:val="30"/>
          <w:szCs w:val="30"/>
          <w:lang w:val="en-US" w:eastAsia="zh-CN"/>
        </w:rPr>
        <w:t>附表十  东至县</w:t>
      </w:r>
      <w:r>
        <w:rPr>
          <w:rFonts w:hint="eastAsia" w:ascii="仿宋" w:hAnsi="仿宋" w:eastAsia="仿宋"/>
          <w:color w:val="auto"/>
          <w:sz w:val="30"/>
          <w:szCs w:val="30"/>
        </w:rPr>
        <w:t>地质灾害隐患点统计一览表</w:t>
      </w:r>
    </w:p>
    <w:p>
      <w:pPr>
        <w:keepNext w:val="0"/>
        <w:keepLines w:val="0"/>
        <w:pageBreakBefore w:val="0"/>
        <w:widowControl w:val="0"/>
        <w:kinsoku/>
        <w:wordWrap/>
        <w:overflowPunct/>
        <w:topLinePunct w:val="0"/>
        <w:autoSpaceDE/>
        <w:autoSpaceDN/>
        <w:bidi w:val="0"/>
        <w:adjustRightInd/>
        <w:snapToGrid/>
        <w:spacing w:line="520" w:lineRule="exact"/>
        <w:ind w:firstLine="602" w:firstLineChars="200"/>
        <w:jc w:val="both"/>
        <w:textAlignment w:val="auto"/>
        <w:rPr>
          <w:rFonts w:ascii="仿宋" w:hAnsi="仿宋" w:eastAsia="仿宋"/>
          <w:b/>
          <w:color w:val="auto"/>
          <w:sz w:val="30"/>
          <w:szCs w:val="30"/>
        </w:rPr>
      </w:pPr>
      <w:r>
        <w:rPr>
          <w:rFonts w:hint="eastAsia" w:ascii="仿宋" w:hAnsi="仿宋" w:eastAsia="仿宋"/>
          <w:b/>
          <w:color w:val="auto"/>
          <w:sz w:val="30"/>
          <w:szCs w:val="30"/>
        </w:rPr>
        <w:t>附图</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ascii="仿宋" w:hAnsi="仿宋" w:eastAsia="仿宋"/>
          <w:color w:val="auto"/>
          <w:sz w:val="30"/>
          <w:szCs w:val="30"/>
        </w:rPr>
        <w:t>附图</w:t>
      </w:r>
      <w:r>
        <w:rPr>
          <w:rFonts w:hint="eastAsia" w:ascii="仿宋" w:hAnsi="仿宋" w:eastAsia="仿宋"/>
          <w:color w:val="auto"/>
          <w:sz w:val="30"/>
          <w:szCs w:val="30"/>
        </w:rPr>
        <w:t xml:space="preserve">1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地质灾害隐患点分布图（</w:t>
      </w:r>
      <w:r>
        <w:rPr>
          <w:rFonts w:ascii="仿宋" w:hAnsi="仿宋" w:eastAsia="仿宋"/>
          <w:color w:val="auto"/>
          <w:sz w:val="30"/>
          <w:szCs w:val="30"/>
        </w:rPr>
        <w:t>1：</w:t>
      </w:r>
      <w:r>
        <w:rPr>
          <w:rFonts w:hint="eastAsia" w:ascii="仿宋" w:hAnsi="仿宋" w:eastAsia="仿宋"/>
          <w:color w:val="auto"/>
          <w:sz w:val="30"/>
          <w:szCs w:val="30"/>
          <w:lang w:val="en-US" w:eastAsia="zh-CN"/>
        </w:rPr>
        <w:t>10</w:t>
      </w:r>
      <w:r>
        <w:rPr>
          <w:rFonts w:hint="eastAsia" w:ascii="仿宋" w:hAnsi="仿宋" w:eastAsia="仿宋"/>
          <w:color w:val="auto"/>
          <w:sz w:val="30"/>
          <w:szCs w:val="30"/>
        </w:rPr>
        <w:t>万）</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rPr>
          <w:rFonts w:ascii="仿宋" w:hAnsi="仿宋" w:eastAsia="仿宋"/>
          <w:color w:val="auto"/>
          <w:sz w:val="30"/>
          <w:szCs w:val="30"/>
        </w:rPr>
      </w:pPr>
      <w:r>
        <w:rPr>
          <w:rFonts w:ascii="仿宋" w:hAnsi="仿宋" w:eastAsia="仿宋"/>
          <w:color w:val="auto"/>
          <w:sz w:val="30"/>
          <w:szCs w:val="30"/>
        </w:rPr>
        <w:t>附图</w:t>
      </w:r>
      <w:r>
        <w:rPr>
          <w:rFonts w:hint="eastAsia" w:ascii="仿宋" w:hAnsi="仿宋" w:eastAsia="仿宋"/>
          <w:color w:val="auto"/>
          <w:sz w:val="30"/>
          <w:szCs w:val="30"/>
        </w:rPr>
        <w:t xml:space="preserve">2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地质灾害易发分区图（</w:t>
      </w:r>
      <w:r>
        <w:rPr>
          <w:rFonts w:ascii="仿宋" w:hAnsi="仿宋" w:eastAsia="仿宋"/>
          <w:color w:val="auto"/>
          <w:sz w:val="30"/>
          <w:szCs w:val="30"/>
        </w:rPr>
        <w:t>1：</w:t>
      </w:r>
      <w:r>
        <w:rPr>
          <w:rFonts w:hint="eastAsia" w:ascii="仿宋" w:hAnsi="仿宋" w:eastAsia="仿宋"/>
          <w:color w:val="auto"/>
          <w:sz w:val="30"/>
          <w:szCs w:val="30"/>
          <w:lang w:val="en-US" w:eastAsia="zh-CN"/>
        </w:rPr>
        <w:t>10</w:t>
      </w:r>
      <w:r>
        <w:rPr>
          <w:rFonts w:hint="eastAsia" w:ascii="仿宋" w:hAnsi="仿宋" w:eastAsia="仿宋"/>
          <w:color w:val="auto"/>
          <w:sz w:val="30"/>
          <w:szCs w:val="30"/>
        </w:rPr>
        <w:t>万）</w:t>
      </w:r>
    </w:p>
    <w:p>
      <w:pPr>
        <w:keepNext w:val="0"/>
        <w:keepLines w:val="0"/>
        <w:pageBreakBefore w:val="0"/>
        <w:widowControl w:val="0"/>
        <w:kinsoku/>
        <w:wordWrap/>
        <w:overflowPunct/>
        <w:topLinePunct w:val="0"/>
        <w:autoSpaceDE/>
        <w:autoSpaceDN/>
        <w:bidi w:val="0"/>
        <w:adjustRightInd/>
        <w:snapToGrid/>
        <w:spacing w:line="520" w:lineRule="exact"/>
        <w:ind w:firstLine="600" w:firstLineChars="200"/>
        <w:jc w:val="both"/>
        <w:textAlignment w:val="auto"/>
        <w:sectPr>
          <w:footerReference r:id="rId11" w:type="first"/>
          <w:headerReference r:id="rId9" w:type="default"/>
          <w:footerReference r:id="rId10" w:type="default"/>
          <w:pgSz w:w="11907" w:h="16840"/>
          <w:pgMar w:top="1440" w:right="1247" w:bottom="1440" w:left="1588" w:header="709" w:footer="709" w:gutter="0"/>
          <w:pgBorders>
            <w:top w:val="none" w:sz="0" w:space="0"/>
            <w:left w:val="none" w:sz="0" w:space="0"/>
            <w:bottom w:val="none" w:sz="0" w:space="0"/>
            <w:right w:val="none" w:sz="0" w:space="0"/>
          </w:pgBorders>
          <w:pgNumType w:fmt="decimal" w:start="1"/>
          <w:cols w:space="425" w:num="1"/>
          <w:titlePg/>
          <w:docGrid w:linePitch="360" w:charSpace="0"/>
        </w:sectPr>
      </w:pPr>
      <w:r>
        <w:rPr>
          <w:rFonts w:ascii="仿宋" w:hAnsi="仿宋" w:eastAsia="仿宋"/>
          <w:color w:val="auto"/>
          <w:sz w:val="30"/>
          <w:szCs w:val="30"/>
        </w:rPr>
        <w:t>附图3</w:t>
      </w:r>
      <w:r>
        <w:rPr>
          <w:rFonts w:hint="eastAsia" w:ascii="仿宋" w:hAnsi="仿宋" w:eastAsia="仿宋"/>
          <w:color w:val="auto"/>
          <w:sz w:val="30"/>
          <w:szCs w:val="30"/>
        </w:rPr>
        <w:t xml:space="preserve">  </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highlight w:val="none"/>
        </w:rPr>
        <w:t>地质</w:t>
      </w:r>
      <w:r>
        <w:rPr>
          <w:rFonts w:hint="eastAsia" w:ascii="仿宋" w:hAnsi="仿宋" w:eastAsia="仿宋"/>
          <w:color w:val="auto"/>
          <w:sz w:val="30"/>
          <w:szCs w:val="30"/>
        </w:rPr>
        <w:t>灾害防治规划图（</w:t>
      </w:r>
      <w:r>
        <w:rPr>
          <w:rFonts w:ascii="仿宋" w:hAnsi="仿宋" w:eastAsia="仿宋"/>
          <w:color w:val="auto"/>
          <w:sz w:val="30"/>
          <w:szCs w:val="30"/>
        </w:rPr>
        <w:t>1：</w:t>
      </w:r>
      <w:r>
        <w:rPr>
          <w:rFonts w:hint="eastAsia" w:ascii="仿宋" w:hAnsi="仿宋" w:eastAsia="仿宋"/>
          <w:color w:val="auto"/>
          <w:sz w:val="30"/>
          <w:szCs w:val="30"/>
          <w:lang w:val="en-US" w:eastAsia="zh-CN"/>
        </w:rPr>
        <w:t>10</w:t>
      </w:r>
      <w:r>
        <w:rPr>
          <w:rFonts w:hint="eastAsia" w:ascii="仿宋" w:hAnsi="仿宋" w:eastAsia="仿宋"/>
          <w:color w:val="auto"/>
          <w:sz w:val="30"/>
          <w:szCs w:val="30"/>
        </w:rPr>
        <w:t>万）</w:t>
      </w:r>
    </w:p>
    <w:bookmarkEnd w:id="1"/>
    <w:bookmarkEnd w:id="2"/>
    <w:p>
      <w:pPr>
        <w:keepNext w:val="0"/>
        <w:keepLines w:val="0"/>
        <w:pageBreakBefore w:val="0"/>
        <w:widowControl w:val="0"/>
        <w:numPr>
          <w:ilvl w:val="0"/>
          <w:numId w:val="1"/>
        </w:numPr>
        <w:kinsoku/>
        <w:wordWrap/>
        <w:overflowPunct/>
        <w:topLinePunct w:val="0"/>
        <w:autoSpaceDE/>
        <w:autoSpaceDN/>
        <w:bidi w:val="0"/>
        <w:adjustRightInd w:val="0"/>
        <w:snapToGrid w:val="0"/>
        <w:spacing w:line="520" w:lineRule="exact"/>
        <w:ind w:left="0" w:leftChars="0" w:firstLine="723" w:firstLineChars="200"/>
        <w:jc w:val="both"/>
        <w:textAlignment w:val="auto"/>
        <w:outlineLvl w:val="0"/>
        <w:rPr>
          <w:rFonts w:ascii="Arial" w:hAnsi="Arial"/>
          <w:b/>
          <w:color w:val="auto"/>
          <w:kern w:val="44"/>
          <w:sz w:val="36"/>
          <w:szCs w:val="30"/>
        </w:rPr>
      </w:pPr>
      <w:bookmarkStart w:id="3" w:name="_Toc23845"/>
      <w:bookmarkStart w:id="4" w:name="_Toc304269039"/>
      <w:r>
        <w:rPr>
          <w:rFonts w:hint="eastAsia" w:ascii="Arial" w:hAnsi="Arial"/>
          <w:b/>
          <w:color w:val="auto"/>
          <w:kern w:val="44"/>
          <w:sz w:val="36"/>
          <w:szCs w:val="30"/>
        </w:rPr>
        <w:t>前 言</w:t>
      </w:r>
      <w:bookmarkEnd w:id="3"/>
      <w:bookmarkEnd w:id="4"/>
    </w:p>
    <w:p>
      <w:pPr>
        <w:pStyle w:val="6"/>
        <w:ind w:firstLine="643" w:firstLineChars="200"/>
        <w:rPr>
          <w:color w:val="auto"/>
        </w:rPr>
      </w:pPr>
      <w:bookmarkStart w:id="5" w:name="_Toc263923329"/>
      <w:bookmarkStart w:id="6" w:name="_Toc263922920"/>
      <w:bookmarkStart w:id="7" w:name="_Toc304269040"/>
      <w:bookmarkStart w:id="8" w:name="_Toc2171"/>
      <w:r>
        <w:rPr>
          <w:rFonts w:hint="eastAsia"/>
          <w:color w:val="auto"/>
        </w:rPr>
        <w:t>（一）</w:t>
      </w:r>
      <w:bookmarkEnd w:id="5"/>
      <w:bookmarkEnd w:id="6"/>
      <w:bookmarkEnd w:id="7"/>
      <w:r>
        <w:rPr>
          <w:rFonts w:hint="eastAsia"/>
          <w:color w:val="auto"/>
        </w:rPr>
        <w:t>项目由来</w:t>
      </w:r>
      <w:bookmarkEnd w:id="8"/>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2020年5月25日，池州市政府采购中心网站发布了池州市自然资源和规划局 《地质灾害防治规划（2021-2025）年》编制项目公开招标公告。2020年7月，安徽省地质环境监测总站</w:t>
      </w:r>
      <w:r>
        <w:rPr>
          <w:rFonts w:hint="eastAsia" w:ascii="仿宋" w:hAnsi="仿宋" w:eastAsia="仿宋"/>
          <w:color w:val="auto"/>
          <w:sz w:val="30"/>
          <w:szCs w:val="30"/>
          <w:lang w:val="en-US" w:eastAsia="zh-CN"/>
        </w:rPr>
        <w:t>启动《池州市地质灾害防治“十四五”规划(2021-2025年)》的编制工作</w:t>
      </w:r>
      <w:r>
        <w:rPr>
          <w:rFonts w:hint="eastAsia" w:ascii="仿宋" w:hAnsi="仿宋" w:eastAsia="仿宋"/>
          <w:color w:val="auto"/>
          <w:sz w:val="30"/>
          <w:szCs w:val="30"/>
        </w:rPr>
        <w:t>。</w:t>
      </w:r>
      <w:r>
        <w:rPr>
          <w:rFonts w:hint="eastAsia" w:ascii="仿宋" w:hAnsi="仿宋" w:eastAsia="仿宋"/>
          <w:color w:val="auto"/>
          <w:sz w:val="30"/>
          <w:szCs w:val="30"/>
          <w:lang w:val="en-US" w:eastAsia="zh-CN"/>
        </w:rPr>
        <w:t>随后，</w:t>
      </w:r>
      <w:r>
        <w:rPr>
          <w:rFonts w:hint="eastAsia" w:ascii="仿宋" w:hAnsi="仿宋" w:eastAsia="仿宋"/>
          <w:color w:val="auto"/>
          <w:sz w:val="30"/>
          <w:szCs w:val="30"/>
        </w:rPr>
        <w:t>东至县自然资源和规划局委托安徽省地质矿产勘查局324 地质队按照国家、省、市有关技术规程和文件要求</w:t>
      </w:r>
      <w:r>
        <w:rPr>
          <w:rFonts w:hint="eastAsia" w:ascii="仿宋" w:hAnsi="仿宋" w:eastAsia="仿宋"/>
          <w:color w:val="auto"/>
          <w:sz w:val="30"/>
          <w:szCs w:val="30"/>
          <w:lang w:val="en-US" w:eastAsia="zh-CN"/>
        </w:rPr>
        <w:t>编制</w:t>
      </w:r>
      <w:r>
        <w:rPr>
          <w:rFonts w:hint="eastAsia" w:ascii="仿宋" w:hAnsi="仿宋" w:eastAsia="仿宋"/>
          <w:color w:val="auto"/>
          <w:sz w:val="30"/>
          <w:szCs w:val="30"/>
        </w:rPr>
        <w:t>《东至县地质灾害防治“十四五”规划》（以下简称《规划》）。</w:t>
      </w:r>
    </w:p>
    <w:p>
      <w:pPr>
        <w:pStyle w:val="6"/>
        <w:ind w:firstLine="643" w:firstLineChars="200"/>
        <w:rPr>
          <w:color w:val="auto"/>
        </w:rPr>
      </w:pPr>
      <w:bookmarkStart w:id="9" w:name="_Toc26533"/>
      <w:r>
        <w:rPr>
          <w:rFonts w:hint="eastAsia"/>
          <w:color w:val="auto"/>
        </w:rPr>
        <w:t>（二）组织管理</w:t>
      </w:r>
      <w:bookmarkEnd w:id="9"/>
      <w:r>
        <w:rPr>
          <w:rFonts w:hint="eastAsia"/>
          <w:color w:val="auto"/>
        </w:rPr>
        <w:t xml:space="preserve"> </w:t>
      </w:r>
      <w:r>
        <w:rPr>
          <w:color w:val="auto"/>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为做好“规划”编制工作，安徽省地质矿产勘查局324 地质队随即成立了《规划》编制项目组，项目组成员由对</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地质灾害情况熟悉的高、中级技术人员组成。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为切实做好《地质灾害防治规划（2021-2025）年》编制工作，</w:t>
      </w:r>
      <w:r>
        <w:rPr>
          <w:rFonts w:hint="eastAsia" w:ascii="仿宋" w:hAnsi="仿宋" w:eastAsia="仿宋"/>
          <w:color w:val="auto"/>
          <w:sz w:val="30"/>
          <w:szCs w:val="30"/>
          <w:lang w:val="en-US" w:eastAsia="zh-CN"/>
        </w:rPr>
        <w:t>由县人民政府领导牵头，成立了自然资源和规划局主管部门组织，</w:t>
      </w:r>
      <w:r>
        <w:rPr>
          <w:rFonts w:hint="eastAsia" w:ascii="仿宋" w:hAnsi="仿宋" w:eastAsia="仿宋"/>
          <w:color w:val="auto"/>
          <w:sz w:val="30"/>
          <w:szCs w:val="30"/>
        </w:rPr>
        <w:t>县财政局</w:t>
      </w:r>
      <w:r>
        <w:rPr>
          <w:rFonts w:hint="eastAsia" w:ascii="仿宋" w:hAnsi="仿宋" w:eastAsia="仿宋"/>
          <w:color w:val="auto"/>
          <w:sz w:val="30"/>
          <w:szCs w:val="30"/>
          <w:lang w:eastAsia="zh-CN"/>
        </w:rPr>
        <w:t>、</w:t>
      </w:r>
      <w:r>
        <w:rPr>
          <w:rFonts w:hint="eastAsia" w:ascii="仿宋" w:hAnsi="仿宋" w:eastAsia="仿宋"/>
          <w:color w:val="auto"/>
          <w:sz w:val="30"/>
          <w:szCs w:val="30"/>
        </w:rPr>
        <w:t>县发展和改革委员会</w:t>
      </w:r>
      <w:r>
        <w:rPr>
          <w:rFonts w:hint="eastAsia" w:ascii="仿宋" w:hAnsi="仿宋" w:eastAsia="仿宋"/>
          <w:color w:val="auto"/>
          <w:sz w:val="30"/>
          <w:szCs w:val="30"/>
          <w:lang w:eastAsia="zh-CN"/>
        </w:rPr>
        <w:t>、</w:t>
      </w:r>
      <w:r>
        <w:rPr>
          <w:rFonts w:hint="eastAsia" w:ascii="仿宋" w:hAnsi="仿宋" w:eastAsia="仿宋"/>
          <w:color w:val="auto"/>
          <w:sz w:val="30"/>
          <w:szCs w:val="30"/>
        </w:rPr>
        <w:t>县科技经济信息化局</w:t>
      </w:r>
      <w:r>
        <w:rPr>
          <w:rFonts w:hint="eastAsia" w:ascii="仿宋" w:hAnsi="仿宋" w:eastAsia="仿宋"/>
          <w:color w:val="auto"/>
          <w:sz w:val="30"/>
          <w:szCs w:val="30"/>
          <w:lang w:eastAsia="zh-CN"/>
        </w:rPr>
        <w:t>、</w:t>
      </w:r>
      <w:r>
        <w:rPr>
          <w:rFonts w:hint="eastAsia" w:ascii="仿宋" w:hAnsi="仿宋" w:eastAsia="仿宋"/>
          <w:color w:val="auto"/>
          <w:sz w:val="30"/>
          <w:szCs w:val="30"/>
        </w:rPr>
        <w:t>住房和城乡建设局</w:t>
      </w:r>
      <w:r>
        <w:rPr>
          <w:rFonts w:hint="eastAsia" w:ascii="仿宋" w:hAnsi="仿宋" w:eastAsia="仿宋"/>
          <w:color w:val="auto"/>
          <w:sz w:val="30"/>
          <w:szCs w:val="30"/>
          <w:lang w:eastAsia="zh-CN"/>
        </w:rPr>
        <w:t>、</w:t>
      </w:r>
      <w:r>
        <w:rPr>
          <w:rFonts w:hint="eastAsia" w:ascii="仿宋" w:hAnsi="仿宋" w:eastAsia="仿宋"/>
          <w:color w:val="auto"/>
          <w:sz w:val="30"/>
          <w:szCs w:val="30"/>
        </w:rPr>
        <w:t>县生态环境分局</w:t>
      </w:r>
      <w:r>
        <w:rPr>
          <w:rFonts w:hint="eastAsia" w:ascii="仿宋" w:hAnsi="仿宋" w:eastAsia="仿宋"/>
          <w:color w:val="auto"/>
          <w:sz w:val="30"/>
          <w:szCs w:val="30"/>
          <w:lang w:eastAsia="zh-CN"/>
        </w:rPr>
        <w:t>、</w:t>
      </w:r>
      <w:r>
        <w:rPr>
          <w:rFonts w:hint="eastAsia" w:ascii="仿宋" w:hAnsi="仿宋" w:eastAsia="仿宋"/>
          <w:color w:val="auto"/>
          <w:sz w:val="30"/>
          <w:szCs w:val="30"/>
        </w:rPr>
        <w:t>县应急管理局</w:t>
      </w:r>
      <w:r>
        <w:rPr>
          <w:rFonts w:hint="eastAsia" w:ascii="仿宋" w:hAnsi="仿宋" w:eastAsia="仿宋"/>
          <w:color w:val="auto"/>
          <w:sz w:val="30"/>
          <w:szCs w:val="30"/>
          <w:lang w:eastAsia="zh-CN"/>
        </w:rPr>
        <w:t>、</w:t>
      </w:r>
      <w:r>
        <w:rPr>
          <w:rFonts w:hint="eastAsia" w:ascii="仿宋" w:hAnsi="仿宋" w:eastAsia="仿宋"/>
          <w:color w:val="auto"/>
          <w:sz w:val="30"/>
          <w:szCs w:val="30"/>
        </w:rPr>
        <w:t>县发展和改革委员会</w:t>
      </w:r>
      <w:r>
        <w:rPr>
          <w:rFonts w:hint="eastAsia" w:ascii="仿宋" w:hAnsi="仿宋" w:eastAsia="仿宋"/>
          <w:color w:val="auto"/>
          <w:sz w:val="30"/>
          <w:szCs w:val="30"/>
          <w:lang w:eastAsia="zh-CN"/>
        </w:rPr>
        <w:t>、</w:t>
      </w:r>
      <w:r>
        <w:rPr>
          <w:rFonts w:hint="eastAsia" w:ascii="仿宋" w:hAnsi="仿宋" w:eastAsia="仿宋"/>
          <w:color w:val="auto"/>
          <w:sz w:val="30"/>
          <w:szCs w:val="30"/>
        </w:rPr>
        <w:t>文化和旅游局</w:t>
      </w:r>
      <w:r>
        <w:rPr>
          <w:rFonts w:hint="eastAsia" w:ascii="仿宋" w:hAnsi="仿宋" w:eastAsia="仿宋"/>
          <w:color w:val="auto"/>
          <w:sz w:val="30"/>
          <w:szCs w:val="30"/>
          <w:lang w:eastAsia="zh-CN"/>
        </w:rPr>
        <w:t>、</w:t>
      </w:r>
      <w:r>
        <w:rPr>
          <w:rFonts w:hint="eastAsia" w:ascii="仿宋" w:hAnsi="仿宋" w:eastAsia="仿宋"/>
          <w:color w:val="auto"/>
          <w:sz w:val="30"/>
          <w:szCs w:val="30"/>
        </w:rPr>
        <w:t>县水利局</w:t>
      </w:r>
      <w:r>
        <w:rPr>
          <w:rFonts w:hint="eastAsia" w:ascii="仿宋" w:hAnsi="仿宋" w:eastAsia="仿宋"/>
          <w:color w:val="auto"/>
          <w:sz w:val="30"/>
          <w:szCs w:val="30"/>
          <w:lang w:val="en-US" w:eastAsia="zh-CN"/>
        </w:rPr>
        <w:t>等参加的规划领导小组，统一指挥规划的编制工作，研究解决规划编制中的重大问题，审查规划方案</w:t>
      </w:r>
      <w:r>
        <w:rPr>
          <w:rFonts w:hint="eastAsia" w:ascii="仿宋" w:hAnsi="仿宋" w:eastAsia="仿宋"/>
          <w:color w:val="auto"/>
          <w:sz w:val="30"/>
          <w:szCs w:val="30"/>
        </w:rPr>
        <w:t>。</w:t>
      </w:r>
    </w:p>
    <w:p>
      <w:pPr>
        <w:pStyle w:val="6"/>
        <w:ind w:firstLine="643" w:firstLineChars="200"/>
        <w:rPr>
          <w:color w:val="auto"/>
        </w:rPr>
      </w:pPr>
      <w:bookmarkStart w:id="10" w:name="_Toc263922921"/>
      <w:bookmarkStart w:id="11" w:name="_Toc263923330"/>
      <w:bookmarkStart w:id="12" w:name="_Toc304269041"/>
      <w:bookmarkStart w:id="13" w:name="_Toc18835"/>
      <w:r>
        <w:rPr>
          <w:rFonts w:hint="eastAsia"/>
          <w:color w:val="auto"/>
        </w:rPr>
        <w:t>（三）</w:t>
      </w:r>
      <w:bookmarkEnd w:id="10"/>
      <w:bookmarkEnd w:id="11"/>
      <w:bookmarkEnd w:id="12"/>
      <w:r>
        <w:rPr>
          <w:rFonts w:hint="eastAsia"/>
          <w:color w:val="auto"/>
        </w:rPr>
        <w:t>编制过程</w:t>
      </w:r>
      <w:bookmarkEnd w:id="13"/>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202</w:t>
      </w:r>
      <w:r>
        <w:rPr>
          <w:rFonts w:hint="eastAsia" w:ascii="仿宋" w:hAnsi="仿宋" w:eastAsia="仿宋"/>
          <w:color w:val="auto"/>
          <w:sz w:val="30"/>
          <w:szCs w:val="30"/>
          <w:lang w:val="en-US" w:eastAsia="zh-CN"/>
        </w:rPr>
        <w:t>0</w:t>
      </w:r>
      <w:r>
        <w:rPr>
          <w:rFonts w:hint="eastAsia" w:ascii="仿宋" w:hAnsi="仿宋" w:eastAsia="仿宋"/>
          <w:color w:val="auto"/>
          <w:sz w:val="30"/>
          <w:szCs w:val="30"/>
        </w:rPr>
        <w:t>年</w:t>
      </w:r>
      <w:r>
        <w:rPr>
          <w:rFonts w:hint="eastAsia" w:ascii="仿宋" w:hAnsi="仿宋" w:eastAsia="仿宋"/>
          <w:color w:val="auto"/>
          <w:sz w:val="30"/>
          <w:szCs w:val="30"/>
          <w:lang w:val="en-US" w:eastAsia="zh-CN"/>
        </w:rPr>
        <w:t>8</w:t>
      </w:r>
      <w:r>
        <w:rPr>
          <w:rFonts w:hint="eastAsia" w:ascii="仿宋" w:hAnsi="仿宋" w:eastAsia="仿宋"/>
          <w:color w:val="auto"/>
          <w:sz w:val="30"/>
          <w:szCs w:val="30"/>
        </w:rPr>
        <w:t>月，项目组组建完毕即着手资料收集工作，先后收集了 “十三五”期间地质灾害防治工作资料、全面收集了上轮《规划》期间实施完成的</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1：5万地质灾害详细调查成果资料、地质灾害隐患点再排查报告和防治预案、上一轮规划期间地质灾害工作情况总结及汇报材料等。</w:t>
      </w:r>
      <w:r>
        <w:rPr>
          <w:rFonts w:hint="eastAsia" w:ascii="仿宋" w:hAnsi="仿宋" w:eastAsia="仿宋"/>
          <w:color w:val="auto"/>
          <w:sz w:val="30"/>
          <w:szCs w:val="30"/>
          <w:lang w:val="en-US" w:eastAsia="zh-CN"/>
        </w:rPr>
        <w:t>9</w:t>
      </w:r>
      <w:r>
        <w:rPr>
          <w:rFonts w:hint="eastAsia" w:ascii="仿宋" w:hAnsi="仿宋" w:eastAsia="仿宋"/>
          <w:color w:val="auto"/>
          <w:sz w:val="30"/>
          <w:szCs w:val="30"/>
        </w:rPr>
        <w:t>月，项目组对收集到的资料进行了分析、整理，形成了规划编制思路（图1</w:t>
      </w:r>
      <w:r>
        <w:rPr>
          <w:rFonts w:ascii="仿宋" w:hAnsi="仿宋" w:eastAsia="仿宋"/>
          <w:color w:val="auto"/>
          <w:sz w:val="30"/>
          <w:szCs w:val="30"/>
        </w:rPr>
        <w:t>-1</w:t>
      </w:r>
      <w:r>
        <w:rPr>
          <w:rFonts w:hint="eastAsia" w:ascii="仿宋" w:hAnsi="仿宋" w:eastAsia="仿宋"/>
          <w:color w:val="auto"/>
          <w:sz w:val="30"/>
          <w:szCs w:val="30"/>
        </w:rPr>
        <w:t>），向</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自然资源和规划局作了汇报。</w:t>
      </w:r>
    </w:p>
    <w:p>
      <w:pPr>
        <w:pStyle w:val="2"/>
      </w:pPr>
      <w:r>
        <w:rPr>
          <w:rFonts w:ascii="仿宋" w:hAnsi="仿宋" w:eastAsia="仿宋"/>
          <w:sz w:val="30"/>
          <w:szCs w:val="30"/>
        </w:rPr>
        <mc:AlternateContent>
          <mc:Choice Requires="wpg">
            <w:drawing>
              <wp:anchor distT="0" distB="0" distL="114300" distR="114300" simplePos="0" relativeHeight="251668480" behindDoc="0" locked="0" layoutInCell="1" allowOverlap="1">
                <wp:simplePos x="0" y="0"/>
                <wp:positionH relativeFrom="column">
                  <wp:posOffset>76200</wp:posOffset>
                </wp:positionH>
                <wp:positionV relativeFrom="paragraph">
                  <wp:posOffset>38735</wp:posOffset>
                </wp:positionV>
                <wp:extent cx="4894580" cy="6782435"/>
                <wp:effectExtent l="4445" t="5080" r="15875" b="13335"/>
                <wp:wrapNone/>
                <wp:docPr id="92" name="Group 94"/>
                <wp:cNvGraphicFramePr/>
                <a:graphic xmlns:a="http://schemas.openxmlformats.org/drawingml/2006/main">
                  <a:graphicData uri="http://schemas.microsoft.com/office/word/2010/wordprocessingGroup">
                    <wpg:wgp>
                      <wpg:cNvGrpSpPr/>
                      <wpg:grpSpPr>
                        <a:xfrm>
                          <a:off x="0" y="0"/>
                          <a:ext cx="4894580" cy="6782435"/>
                          <a:chOff x="2037" y="1657"/>
                          <a:chExt cx="8160" cy="13320"/>
                        </a:xfrm>
                      </wpg:grpSpPr>
                      <wps:wsp>
                        <wps:cNvPr id="4" name="Text Box 95"/>
                        <wps:cNvSpPr txBox="1">
                          <a:spLocks noChangeArrowheads="1"/>
                        </wps:cNvSpPr>
                        <wps:spPr bwMode="auto">
                          <a:xfrm>
                            <a:off x="2397" y="1657"/>
                            <a:ext cx="4560" cy="503"/>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规划编制组学习有关文件、规范</w:t>
                              </w:r>
                            </w:p>
                          </w:txbxContent>
                        </wps:txbx>
                        <wps:bodyPr rot="0" vert="horz" wrap="square" lIns="36000" tIns="36000" rIns="36000" bIns="36000" anchor="t" anchorCtr="0" upright="1">
                          <a:noAutofit/>
                        </wps:bodyPr>
                      </wps:wsp>
                      <wps:wsp>
                        <wps:cNvPr id="93" name="Text Box 96"/>
                        <wps:cNvSpPr txBox="1">
                          <a:spLocks noChangeArrowheads="1"/>
                        </wps:cNvSpPr>
                        <wps:spPr bwMode="auto">
                          <a:xfrm>
                            <a:off x="2037" y="2830"/>
                            <a:ext cx="1320" cy="468"/>
                          </a:xfrm>
                          <a:prstGeom prst="rect">
                            <a:avLst/>
                          </a:prstGeom>
                          <a:solidFill>
                            <a:srgbClr val="FFFFFF"/>
                          </a:solidFill>
                          <a:ln w="9525">
                            <a:solidFill>
                              <a:srgbClr val="000000"/>
                            </a:solidFill>
                            <a:miter lim="800000"/>
                          </a:ln>
                        </wps:spPr>
                        <wps:txbx>
                          <w:txbxContent>
                            <w:p>
                              <w:pPr>
                                <w:spacing w:line="240" w:lineRule="atLeast"/>
                                <w:jc w:val="center"/>
                                <w:rPr>
                                  <w:position w:val="2"/>
                                  <w:sz w:val="21"/>
                                  <w:szCs w:val="21"/>
                                </w:rPr>
                              </w:pPr>
                              <w:r>
                                <w:rPr>
                                  <w:rFonts w:hint="eastAsia"/>
                                  <w:position w:val="2"/>
                                  <w:sz w:val="21"/>
                                  <w:szCs w:val="21"/>
                                </w:rPr>
                                <w:t>收集资料</w:t>
                              </w:r>
                            </w:p>
                          </w:txbxContent>
                        </wps:txbx>
                        <wps:bodyPr rot="0" vert="horz" wrap="square" lIns="36000" tIns="36000" rIns="36000" bIns="36000" anchor="t" anchorCtr="0" upright="1">
                          <a:noAutofit/>
                        </wps:bodyPr>
                      </wps:wsp>
                      <wps:wsp>
                        <wps:cNvPr id="94" name="Text Box 97"/>
                        <wps:cNvSpPr txBox="1">
                          <a:spLocks noChangeArrowheads="1"/>
                        </wps:cNvSpPr>
                        <wps:spPr bwMode="auto">
                          <a:xfrm>
                            <a:off x="4197" y="2468"/>
                            <a:ext cx="6000" cy="973"/>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1:50000 东至县地质灾害调查成果；地质环境背景资料；相关部门规划衔接；县地质灾害隐患点资料等</w:t>
                              </w:r>
                            </w:p>
                          </w:txbxContent>
                        </wps:txbx>
                        <wps:bodyPr rot="0" vert="horz" wrap="square" lIns="36000" tIns="36000" rIns="36000" bIns="36000" anchor="t" anchorCtr="0" upright="1">
                          <a:noAutofit/>
                        </wps:bodyPr>
                      </wps:wsp>
                      <wps:wsp>
                        <wps:cNvPr id="95" name="Text Box 98"/>
                        <wps:cNvSpPr txBox="1">
                          <a:spLocks noChangeArrowheads="1"/>
                        </wps:cNvSpPr>
                        <wps:spPr bwMode="auto">
                          <a:xfrm>
                            <a:off x="3117" y="4055"/>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地灾防治工作总结以及野外核查</w:t>
                              </w:r>
                            </w:p>
                          </w:txbxContent>
                        </wps:txbx>
                        <wps:bodyPr rot="0" vert="horz" wrap="square" lIns="36000" tIns="36000" rIns="36000" bIns="36000" anchor="t" anchorCtr="0" upright="1">
                          <a:noAutofit/>
                        </wps:bodyPr>
                      </wps:wsp>
                      <wps:wsp>
                        <wps:cNvPr id="96" name="Text Box 99"/>
                        <wps:cNvSpPr txBox="1">
                          <a:spLocks noChangeArrowheads="1"/>
                        </wps:cNvSpPr>
                        <wps:spPr bwMode="auto">
                          <a:xfrm>
                            <a:off x="3117" y="6034"/>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分类目标</w:t>
                              </w:r>
                            </w:p>
                          </w:txbxContent>
                        </wps:txbx>
                        <wps:bodyPr rot="0" vert="horz" wrap="square" lIns="36000" tIns="36000" rIns="36000" bIns="36000" anchor="t" anchorCtr="0" upright="1">
                          <a:noAutofit/>
                        </wps:bodyPr>
                      </wps:wsp>
                      <wps:wsp>
                        <wps:cNvPr id="97" name="Text Box 100"/>
                        <wps:cNvSpPr txBox="1">
                          <a:spLocks noChangeArrowheads="1"/>
                        </wps:cNvSpPr>
                        <wps:spPr bwMode="auto">
                          <a:xfrm>
                            <a:off x="3117" y="6934"/>
                            <a:ext cx="4920" cy="482"/>
                          </a:xfrm>
                          <a:prstGeom prst="rect">
                            <a:avLst/>
                          </a:prstGeom>
                          <a:solidFill>
                            <a:srgbClr val="FFFFFF"/>
                          </a:solidFill>
                          <a:ln w="9525">
                            <a:solidFill>
                              <a:srgbClr val="000000"/>
                            </a:solidFill>
                            <a:miter lim="800000"/>
                          </a:ln>
                        </wps:spPr>
                        <wps:txbx>
                          <w:txbxContent>
                            <w:p>
                              <w:pPr>
                                <w:spacing w:line="240" w:lineRule="atLeast"/>
                                <w:jc w:val="center"/>
                                <w:rPr>
                                  <w:position w:val="2"/>
                                  <w:sz w:val="24"/>
                                </w:rPr>
                              </w:pPr>
                              <w:r>
                                <w:rPr>
                                  <w:rFonts w:hint="eastAsia"/>
                                  <w:position w:val="2"/>
                                  <w:sz w:val="21"/>
                                  <w:szCs w:val="21"/>
                                </w:rPr>
                                <w:t>地质灾害易发区划分</w:t>
                              </w:r>
                            </w:p>
                          </w:txbxContent>
                        </wps:txbx>
                        <wps:bodyPr rot="0" vert="horz" wrap="square" lIns="36000" tIns="36000" rIns="36000" bIns="36000" anchor="t" anchorCtr="0" upright="1">
                          <a:noAutofit/>
                        </wps:bodyPr>
                      </wps:wsp>
                      <wps:wsp>
                        <wps:cNvPr id="98" name="Text Box 101"/>
                        <wps:cNvSpPr txBox="1">
                          <a:spLocks noChangeArrowheads="1"/>
                        </wps:cNvSpPr>
                        <wps:spPr bwMode="auto">
                          <a:xfrm>
                            <a:off x="3117" y="7833"/>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重点防治区划分重点防护目标确定</w:t>
                              </w:r>
                            </w:p>
                          </w:txbxContent>
                        </wps:txbx>
                        <wps:bodyPr rot="0" vert="horz" wrap="square" lIns="36000" tIns="36000" rIns="36000" bIns="36000" anchor="t" anchorCtr="0" upright="1">
                          <a:noAutofit/>
                        </wps:bodyPr>
                      </wps:wsp>
                      <wps:wsp>
                        <wps:cNvPr id="99" name="Text Box 102"/>
                        <wps:cNvSpPr txBox="1">
                          <a:spLocks noChangeArrowheads="1"/>
                        </wps:cNvSpPr>
                        <wps:spPr bwMode="auto">
                          <a:xfrm>
                            <a:off x="3117" y="8734"/>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防治项目确定</w:t>
                              </w:r>
                            </w:p>
                          </w:txbxContent>
                        </wps:txbx>
                        <wps:bodyPr rot="0" vert="horz" wrap="square" lIns="36000" tIns="36000" rIns="36000" bIns="36000" anchor="t" anchorCtr="0" upright="1">
                          <a:noAutofit/>
                        </wps:bodyPr>
                      </wps:wsp>
                      <wps:wsp>
                        <wps:cNvPr id="108" name="Text Box 103"/>
                        <wps:cNvSpPr txBox="1">
                          <a:spLocks noChangeArrowheads="1"/>
                        </wps:cNvSpPr>
                        <wps:spPr bwMode="auto">
                          <a:xfrm>
                            <a:off x="3117" y="9634"/>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防治经费</w:t>
                              </w:r>
                            </w:p>
                          </w:txbxContent>
                        </wps:txbx>
                        <wps:bodyPr rot="0" vert="horz" wrap="square" lIns="36000" tIns="36000" rIns="36000" bIns="36000" anchor="t" anchorCtr="0" upright="1">
                          <a:noAutofit/>
                        </wps:bodyPr>
                      </wps:wsp>
                      <wps:wsp>
                        <wps:cNvPr id="109" name="Text Box 104"/>
                        <wps:cNvSpPr txBox="1">
                          <a:spLocks noChangeArrowheads="1"/>
                        </wps:cNvSpPr>
                        <wps:spPr bwMode="auto">
                          <a:xfrm>
                            <a:off x="3117" y="10533"/>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规划实施保证措施</w:t>
                              </w:r>
                            </w:p>
                          </w:txbxContent>
                        </wps:txbx>
                        <wps:bodyPr rot="0" vert="horz" wrap="square" lIns="36000" tIns="36000" rIns="36000" bIns="36000" anchor="t" anchorCtr="0" upright="1">
                          <a:noAutofit/>
                        </wps:bodyPr>
                      </wps:wsp>
                      <wps:wsp>
                        <wps:cNvPr id="14" name="Text Box 105"/>
                        <wps:cNvSpPr txBox="1">
                          <a:spLocks noChangeArrowheads="1"/>
                        </wps:cNvSpPr>
                        <wps:spPr bwMode="auto">
                          <a:xfrm>
                            <a:off x="3117" y="11435"/>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讨论稿</w:t>
                              </w:r>
                            </w:p>
                          </w:txbxContent>
                        </wps:txbx>
                        <wps:bodyPr rot="0" vert="horz" wrap="square" lIns="36000" tIns="36000" rIns="36000" bIns="36000" anchor="t" anchorCtr="0" upright="1">
                          <a:noAutofit/>
                        </wps:bodyPr>
                      </wps:wsp>
                      <wps:wsp>
                        <wps:cNvPr id="15" name="Text Box 106"/>
                        <wps:cNvSpPr txBox="1">
                          <a:spLocks noChangeArrowheads="1"/>
                        </wps:cNvSpPr>
                        <wps:spPr bwMode="auto">
                          <a:xfrm>
                            <a:off x="3117" y="12335"/>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征求意见稿</w:t>
                              </w:r>
                            </w:p>
                          </w:txbxContent>
                        </wps:txbx>
                        <wps:bodyPr rot="0" vert="horz" wrap="square" lIns="36000" tIns="36000" rIns="36000" bIns="36000" anchor="t" anchorCtr="0" upright="1">
                          <a:noAutofit/>
                        </wps:bodyPr>
                      </wps:wsp>
                      <wps:wsp>
                        <wps:cNvPr id="16" name="Text Box 107"/>
                        <wps:cNvSpPr txBox="1">
                          <a:spLocks noChangeArrowheads="1"/>
                        </wps:cNvSpPr>
                        <wps:spPr bwMode="auto">
                          <a:xfrm>
                            <a:off x="3117" y="13537"/>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送审稿</w:t>
                              </w:r>
                            </w:p>
                          </w:txbxContent>
                        </wps:txbx>
                        <wps:bodyPr rot="0" vert="horz" wrap="square" lIns="36000" tIns="36000" rIns="36000" bIns="36000" anchor="t" anchorCtr="0" upright="1">
                          <a:noAutofit/>
                        </wps:bodyPr>
                      </wps:wsp>
                      <wps:wsp>
                        <wps:cNvPr id="17" name="Text Box 108"/>
                        <wps:cNvSpPr txBox="1">
                          <a:spLocks noChangeArrowheads="1"/>
                        </wps:cNvSpPr>
                        <wps:spPr bwMode="auto">
                          <a:xfrm>
                            <a:off x="3117" y="14495"/>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审定稿（出版）</w:t>
                              </w:r>
                            </w:p>
                          </w:txbxContent>
                        </wps:txbx>
                        <wps:bodyPr rot="0" vert="horz" wrap="square" lIns="36000" tIns="36000" rIns="36000" bIns="36000" anchor="t" anchorCtr="0" upright="1">
                          <a:noAutofit/>
                        </wps:bodyPr>
                      </wps:wsp>
                      <wps:wsp>
                        <wps:cNvPr id="110" name="Text Box 109"/>
                        <wps:cNvSpPr txBox="1">
                          <a:spLocks noChangeArrowheads="1"/>
                        </wps:cNvSpPr>
                        <wps:spPr bwMode="auto">
                          <a:xfrm>
                            <a:off x="3117" y="5134"/>
                            <a:ext cx="4920" cy="482"/>
                          </a:xfrm>
                          <a:prstGeom prst="rect">
                            <a:avLst/>
                          </a:prstGeom>
                          <a:solidFill>
                            <a:srgbClr val="FFFFFF"/>
                          </a:solidFill>
                          <a:ln w="9525">
                            <a:solidFill>
                              <a:srgbClr val="000000"/>
                            </a:solidFill>
                            <a:miter lim="800000"/>
                          </a:ln>
                        </wps:spPr>
                        <wps:txbx>
                          <w:txbxContent>
                            <w:p>
                              <w:pPr>
                                <w:spacing w:line="240" w:lineRule="atLeast"/>
                                <w:jc w:val="center"/>
                                <w:rPr>
                                  <w:rFonts w:hint="eastAsia"/>
                                  <w:position w:val="2"/>
                                  <w:sz w:val="21"/>
                                  <w:szCs w:val="21"/>
                                </w:rPr>
                              </w:pPr>
                              <w:r>
                                <w:rPr>
                                  <w:rFonts w:hint="eastAsia"/>
                                  <w:position w:val="2"/>
                                  <w:sz w:val="21"/>
                                  <w:szCs w:val="21"/>
                                </w:rPr>
                                <w:t>确定灾害防治规划总体目标</w:t>
                              </w:r>
                            </w:p>
                          </w:txbxContent>
                        </wps:txbx>
                        <wps:bodyPr rot="0" vert="horz" wrap="square" lIns="36000" tIns="36000" rIns="36000" bIns="36000" anchor="t" anchorCtr="0" upright="1">
                          <a:noAutofit/>
                        </wps:bodyPr>
                      </wps:wsp>
                      <wps:wsp>
                        <wps:cNvPr id="19" name="Text Box 110"/>
                        <wps:cNvSpPr txBox="1">
                          <a:spLocks noChangeArrowheads="1"/>
                        </wps:cNvSpPr>
                        <wps:spPr bwMode="auto">
                          <a:xfrm>
                            <a:off x="2154" y="7776"/>
                            <a:ext cx="480" cy="2494"/>
                          </a:xfrm>
                          <a:prstGeom prst="rect">
                            <a:avLst/>
                          </a:prstGeom>
                          <a:solidFill>
                            <a:srgbClr val="FFFFFF"/>
                          </a:solidFill>
                          <a:ln w="9525">
                            <a:solidFill>
                              <a:srgbClr val="000000"/>
                            </a:solidFill>
                            <a:miter lim="800000"/>
                          </a:ln>
                        </wps:spPr>
                        <wps:txbx>
                          <w:txbxContent>
                            <w:p>
                              <w:pPr>
                                <w:spacing w:line="240" w:lineRule="atLeast"/>
                                <w:jc w:val="center"/>
                                <w:rPr>
                                  <w:position w:val="2"/>
                                  <w:sz w:val="24"/>
                                </w:rPr>
                              </w:pPr>
                            </w:p>
                            <w:p>
                              <w:pPr>
                                <w:spacing w:line="240" w:lineRule="atLeast"/>
                                <w:jc w:val="center"/>
                                <w:rPr>
                                  <w:position w:val="2"/>
                                  <w:sz w:val="24"/>
                                </w:rPr>
                              </w:pPr>
                            </w:p>
                            <w:p>
                              <w:pPr>
                                <w:spacing w:line="240" w:lineRule="atLeast"/>
                                <w:jc w:val="center"/>
                                <w:rPr>
                                  <w:position w:val="2"/>
                                  <w:sz w:val="24"/>
                                </w:rPr>
                              </w:pPr>
                              <w:r>
                                <w:rPr>
                                  <w:rFonts w:hint="eastAsia"/>
                                  <w:position w:val="2"/>
                                  <w:sz w:val="21"/>
                                  <w:szCs w:val="21"/>
                                </w:rPr>
                                <w:t>规划文本</w:t>
                              </w:r>
                            </w:p>
                          </w:txbxContent>
                        </wps:txbx>
                        <wps:bodyPr rot="0" vert="horz" wrap="square" lIns="36000" tIns="36000" rIns="36000" bIns="36000" anchor="t" anchorCtr="0" upright="1">
                          <a:noAutofit/>
                        </wps:bodyPr>
                      </wps:wsp>
                      <wps:wsp>
                        <wps:cNvPr id="20" name="Text Box 111"/>
                        <wps:cNvSpPr txBox="1">
                          <a:spLocks noChangeArrowheads="1"/>
                        </wps:cNvSpPr>
                        <wps:spPr bwMode="auto">
                          <a:xfrm>
                            <a:off x="9597" y="5135"/>
                            <a:ext cx="600" cy="6083"/>
                          </a:xfrm>
                          <a:prstGeom prst="rect">
                            <a:avLst/>
                          </a:prstGeom>
                          <a:solidFill>
                            <a:srgbClr val="FFFFFF"/>
                          </a:solidFill>
                          <a:ln w="9525">
                            <a:solidFill>
                              <a:srgbClr val="000000"/>
                            </a:solidFill>
                            <a:miter lim="800000"/>
                          </a:ln>
                        </wps:spPr>
                        <wps:txbx>
                          <w:txbxContent>
                            <w:p>
                              <w:pPr>
                                <w:spacing w:line="240" w:lineRule="atLeast"/>
                                <w:jc w:val="center"/>
                                <w:rPr>
                                  <w:position w:val="2"/>
                                  <w:sz w:val="24"/>
                                </w:rPr>
                              </w:pPr>
                            </w:p>
                            <w:p>
                              <w:pPr>
                                <w:spacing w:line="240" w:lineRule="atLeast"/>
                                <w:jc w:val="center"/>
                                <w:rPr>
                                  <w:position w:val="2"/>
                                  <w:sz w:val="24"/>
                                </w:rPr>
                              </w:pPr>
                            </w:p>
                            <w:p>
                              <w:pPr>
                                <w:spacing w:line="240" w:lineRule="atLeast"/>
                                <w:jc w:val="center"/>
                                <w:rPr>
                                  <w:position w:val="2"/>
                                  <w:sz w:val="24"/>
                                </w:rPr>
                              </w:pPr>
                            </w:p>
                            <w:p>
                              <w:pPr>
                                <w:spacing w:line="240" w:lineRule="atLeast"/>
                                <w:jc w:val="center"/>
                                <w:rPr>
                                  <w:rFonts w:hint="eastAsia"/>
                                  <w:position w:val="2"/>
                                  <w:sz w:val="21"/>
                                  <w:szCs w:val="21"/>
                                </w:rPr>
                              </w:pPr>
                              <w:r>
                                <w:rPr>
                                  <w:rFonts w:hint="eastAsia"/>
                                  <w:position w:val="2"/>
                                  <w:sz w:val="21"/>
                                  <w:szCs w:val="21"/>
                                </w:rPr>
                                <w:t>经</w:t>
                              </w:r>
                            </w:p>
                            <w:p>
                              <w:pPr>
                                <w:spacing w:line="240" w:lineRule="atLeast"/>
                                <w:jc w:val="center"/>
                                <w:rPr>
                                  <w:rFonts w:hint="eastAsia"/>
                                  <w:position w:val="2"/>
                                  <w:sz w:val="21"/>
                                  <w:szCs w:val="21"/>
                                </w:rPr>
                              </w:pPr>
                              <w:r>
                                <w:rPr>
                                  <w:rFonts w:hint="eastAsia"/>
                                  <w:position w:val="2"/>
                                  <w:sz w:val="21"/>
                                  <w:szCs w:val="21"/>
                                </w:rPr>
                                <w:t>济</w:t>
                              </w:r>
                            </w:p>
                            <w:p>
                              <w:pPr>
                                <w:spacing w:line="240" w:lineRule="atLeast"/>
                                <w:jc w:val="center"/>
                                <w:rPr>
                                  <w:rFonts w:hint="eastAsia"/>
                                  <w:position w:val="2"/>
                                  <w:sz w:val="21"/>
                                  <w:szCs w:val="21"/>
                                </w:rPr>
                              </w:pPr>
                              <w:r>
                                <w:rPr>
                                  <w:rFonts w:hint="eastAsia"/>
                                  <w:position w:val="2"/>
                                  <w:sz w:val="21"/>
                                  <w:szCs w:val="21"/>
                                </w:rPr>
                                <w:t>能</w:t>
                              </w:r>
                            </w:p>
                            <w:p>
                              <w:pPr>
                                <w:spacing w:line="240" w:lineRule="atLeast"/>
                                <w:jc w:val="center"/>
                                <w:rPr>
                                  <w:rFonts w:hint="eastAsia"/>
                                  <w:position w:val="2"/>
                                  <w:sz w:val="21"/>
                                  <w:szCs w:val="21"/>
                                </w:rPr>
                              </w:pPr>
                              <w:r>
                                <w:rPr>
                                  <w:rFonts w:hint="eastAsia"/>
                                  <w:position w:val="2"/>
                                  <w:sz w:val="21"/>
                                  <w:szCs w:val="21"/>
                                </w:rPr>
                                <w:t>力</w:t>
                              </w:r>
                            </w:p>
                            <w:p>
                              <w:pPr>
                                <w:spacing w:line="240" w:lineRule="atLeast"/>
                                <w:jc w:val="center"/>
                                <w:rPr>
                                  <w:rFonts w:hint="eastAsia"/>
                                  <w:position w:val="2"/>
                                  <w:sz w:val="21"/>
                                  <w:szCs w:val="21"/>
                                </w:rPr>
                              </w:pPr>
                            </w:p>
                            <w:p>
                              <w:pPr>
                                <w:spacing w:line="240" w:lineRule="atLeast"/>
                                <w:jc w:val="center"/>
                                <w:rPr>
                                  <w:rFonts w:hint="eastAsia"/>
                                  <w:position w:val="2"/>
                                  <w:sz w:val="21"/>
                                  <w:szCs w:val="21"/>
                                </w:rPr>
                              </w:pPr>
                            </w:p>
                            <w:p>
                              <w:pPr>
                                <w:spacing w:line="240" w:lineRule="atLeast"/>
                                <w:jc w:val="center"/>
                                <w:rPr>
                                  <w:rFonts w:hint="eastAsia"/>
                                  <w:position w:val="2"/>
                                  <w:sz w:val="21"/>
                                  <w:szCs w:val="21"/>
                                </w:rPr>
                              </w:pPr>
                            </w:p>
                            <w:p>
                              <w:pPr>
                                <w:spacing w:line="240" w:lineRule="atLeast"/>
                                <w:jc w:val="center"/>
                                <w:rPr>
                                  <w:rFonts w:hint="eastAsia"/>
                                  <w:position w:val="2"/>
                                  <w:sz w:val="21"/>
                                  <w:szCs w:val="21"/>
                                </w:rPr>
                              </w:pPr>
                              <w:r>
                                <w:rPr>
                                  <w:rFonts w:hint="eastAsia"/>
                                  <w:position w:val="2"/>
                                  <w:sz w:val="21"/>
                                  <w:szCs w:val="21"/>
                                </w:rPr>
                                <w:t>责</w:t>
                              </w:r>
                            </w:p>
                            <w:p>
                              <w:pPr>
                                <w:spacing w:line="240" w:lineRule="atLeast"/>
                                <w:jc w:val="center"/>
                                <w:rPr>
                                  <w:rFonts w:hint="eastAsia"/>
                                  <w:position w:val="2"/>
                                  <w:sz w:val="21"/>
                                  <w:szCs w:val="21"/>
                                </w:rPr>
                              </w:pPr>
                              <w:r>
                                <w:rPr>
                                  <w:rFonts w:hint="eastAsia"/>
                                  <w:position w:val="2"/>
                                  <w:sz w:val="21"/>
                                  <w:szCs w:val="21"/>
                                </w:rPr>
                                <w:t>任</w:t>
                              </w:r>
                            </w:p>
                            <w:p>
                              <w:pPr>
                                <w:spacing w:line="240" w:lineRule="atLeast"/>
                                <w:jc w:val="center"/>
                                <w:rPr>
                                  <w:rFonts w:hint="eastAsia"/>
                                  <w:position w:val="2"/>
                                  <w:sz w:val="21"/>
                                  <w:szCs w:val="21"/>
                                </w:rPr>
                              </w:pPr>
                              <w:r>
                                <w:rPr>
                                  <w:rFonts w:hint="eastAsia"/>
                                  <w:position w:val="2"/>
                                  <w:sz w:val="21"/>
                                  <w:szCs w:val="21"/>
                                </w:rPr>
                                <w:t>主</w:t>
                              </w:r>
                            </w:p>
                            <w:p>
                              <w:pPr>
                                <w:spacing w:line="240" w:lineRule="atLeast"/>
                                <w:jc w:val="center"/>
                                <w:rPr>
                                  <w:position w:val="2"/>
                                  <w:sz w:val="24"/>
                                </w:rPr>
                              </w:pPr>
                              <w:r>
                                <w:rPr>
                                  <w:rFonts w:hint="eastAsia"/>
                                  <w:position w:val="2"/>
                                  <w:sz w:val="21"/>
                                  <w:szCs w:val="21"/>
                                </w:rPr>
                                <w:t>体</w:t>
                              </w:r>
                            </w:p>
                          </w:txbxContent>
                        </wps:txbx>
                        <wps:bodyPr rot="0" vert="horz" wrap="square" lIns="36000" tIns="36000" rIns="36000" bIns="36000" anchor="t" anchorCtr="0" upright="1">
                          <a:noAutofit/>
                        </wps:bodyPr>
                      </wps:wsp>
                      <wps:wsp>
                        <wps:cNvPr id="21" name="Line 112"/>
                        <wps:cNvCnPr>
                          <a:cxnSpLocks noChangeShapeType="1"/>
                        </wps:cNvCnPr>
                        <wps:spPr bwMode="auto">
                          <a:xfrm>
                            <a:off x="2997" y="2247"/>
                            <a:ext cx="0" cy="567"/>
                          </a:xfrm>
                          <a:prstGeom prst="line">
                            <a:avLst/>
                          </a:prstGeom>
                          <a:noFill/>
                          <a:ln w="9525">
                            <a:solidFill>
                              <a:srgbClr val="000000"/>
                            </a:solidFill>
                            <a:round/>
                            <a:tailEnd type="triangle" w="med" len="med"/>
                          </a:ln>
                        </wps:spPr>
                        <wps:bodyPr/>
                      </wps:wsp>
                      <wps:wsp>
                        <wps:cNvPr id="22" name="Line 113"/>
                        <wps:cNvCnPr>
                          <a:cxnSpLocks noChangeShapeType="1"/>
                        </wps:cNvCnPr>
                        <wps:spPr bwMode="auto">
                          <a:xfrm>
                            <a:off x="3237" y="3329"/>
                            <a:ext cx="0" cy="737"/>
                          </a:xfrm>
                          <a:prstGeom prst="line">
                            <a:avLst/>
                          </a:prstGeom>
                          <a:noFill/>
                          <a:ln w="9525">
                            <a:solidFill>
                              <a:srgbClr val="000000"/>
                            </a:solidFill>
                            <a:round/>
                            <a:tailEnd type="triangle" w="med" len="med"/>
                          </a:ln>
                        </wps:spPr>
                        <wps:bodyPr/>
                      </wps:wsp>
                      <wps:wsp>
                        <wps:cNvPr id="23" name="Line 114"/>
                        <wps:cNvCnPr>
                          <a:cxnSpLocks noChangeShapeType="1"/>
                        </wps:cNvCnPr>
                        <wps:spPr bwMode="auto">
                          <a:xfrm>
                            <a:off x="3357" y="3097"/>
                            <a:ext cx="794" cy="0"/>
                          </a:xfrm>
                          <a:prstGeom prst="line">
                            <a:avLst/>
                          </a:prstGeom>
                          <a:noFill/>
                          <a:ln w="9525">
                            <a:solidFill>
                              <a:srgbClr val="000000"/>
                            </a:solidFill>
                            <a:round/>
                            <a:tailEnd type="triangle" w="med" len="med"/>
                          </a:ln>
                        </wps:spPr>
                        <wps:bodyPr/>
                      </wps:wsp>
                      <wps:wsp>
                        <wps:cNvPr id="24" name="Line 115"/>
                        <wps:cNvCnPr>
                          <a:cxnSpLocks noChangeShapeType="1"/>
                        </wps:cNvCnPr>
                        <wps:spPr bwMode="auto">
                          <a:xfrm>
                            <a:off x="5397" y="4537"/>
                            <a:ext cx="0" cy="567"/>
                          </a:xfrm>
                          <a:prstGeom prst="line">
                            <a:avLst/>
                          </a:prstGeom>
                          <a:noFill/>
                          <a:ln w="9525">
                            <a:solidFill>
                              <a:srgbClr val="000000"/>
                            </a:solidFill>
                            <a:round/>
                            <a:tailEnd type="triangle" w="med" len="med"/>
                          </a:ln>
                        </wps:spPr>
                        <wps:bodyPr/>
                      </wps:wsp>
                      <wps:wsp>
                        <wps:cNvPr id="25" name="Line 116"/>
                        <wps:cNvCnPr>
                          <a:cxnSpLocks noChangeShapeType="1"/>
                        </wps:cNvCnPr>
                        <wps:spPr bwMode="auto">
                          <a:xfrm>
                            <a:off x="5397" y="5674"/>
                            <a:ext cx="0" cy="369"/>
                          </a:xfrm>
                          <a:prstGeom prst="line">
                            <a:avLst/>
                          </a:prstGeom>
                          <a:noFill/>
                          <a:ln w="9525">
                            <a:solidFill>
                              <a:srgbClr val="000000"/>
                            </a:solidFill>
                            <a:round/>
                            <a:tailEnd type="triangle" w="med" len="med"/>
                          </a:ln>
                        </wps:spPr>
                        <wps:bodyPr/>
                      </wps:wsp>
                      <wps:wsp>
                        <wps:cNvPr id="111" name="Line 117"/>
                        <wps:cNvCnPr>
                          <a:cxnSpLocks noChangeShapeType="1"/>
                        </wps:cNvCnPr>
                        <wps:spPr bwMode="auto">
                          <a:xfrm>
                            <a:off x="5397" y="6575"/>
                            <a:ext cx="0" cy="369"/>
                          </a:xfrm>
                          <a:prstGeom prst="line">
                            <a:avLst/>
                          </a:prstGeom>
                          <a:noFill/>
                          <a:ln w="9525">
                            <a:solidFill>
                              <a:srgbClr val="000000"/>
                            </a:solidFill>
                            <a:round/>
                            <a:tailEnd type="triangle" w="med" len="med"/>
                          </a:ln>
                        </wps:spPr>
                        <wps:bodyPr/>
                      </wps:wsp>
                      <wps:wsp>
                        <wps:cNvPr id="112" name="Line 118"/>
                        <wps:cNvCnPr>
                          <a:cxnSpLocks noChangeShapeType="1"/>
                        </wps:cNvCnPr>
                        <wps:spPr bwMode="auto">
                          <a:xfrm>
                            <a:off x="5397" y="7475"/>
                            <a:ext cx="0" cy="369"/>
                          </a:xfrm>
                          <a:prstGeom prst="line">
                            <a:avLst/>
                          </a:prstGeom>
                          <a:noFill/>
                          <a:ln w="9525">
                            <a:solidFill>
                              <a:srgbClr val="000000"/>
                            </a:solidFill>
                            <a:round/>
                            <a:tailEnd type="triangle" w="med" len="med"/>
                          </a:ln>
                        </wps:spPr>
                        <wps:bodyPr/>
                      </wps:wsp>
                      <wps:wsp>
                        <wps:cNvPr id="28" name="Line 119"/>
                        <wps:cNvCnPr>
                          <a:cxnSpLocks noChangeShapeType="1"/>
                        </wps:cNvCnPr>
                        <wps:spPr bwMode="auto">
                          <a:xfrm>
                            <a:off x="5397" y="8373"/>
                            <a:ext cx="0" cy="369"/>
                          </a:xfrm>
                          <a:prstGeom prst="line">
                            <a:avLst/>
                          </a:prstGeom>
                          <a:noFill/>
                          <a:ln w="9525">
                            <a:solidFill>
                              <a:srgbClr val="000000"/>
                            </a:solidFill>
                            <a:round/>
                            <a:tailEnd type="triangle" w="med" len="med"/>
                          </a:ln>
                        </wps:spPr>
                        <wps:bodyPr/>
                      </wps:wsp>
                      <wps:wsp>
                        <wps:cNvPr id="29" name="Line 120"/>
                        <wps:cNvCnPr>
                          <a:cxnSpLocks noChangeShapeType="1"/>
                        </wps:cNvCnPr>
                        <wps:spPr bwMode="auto">
                          <a:xfrm>
                            <a:off x="5397" y="9274"/>
                            <a:ext cx="0" cy="369"/>
                          </a:xfrm>
                          <a:prstGeom prst="line">
                            <a:avLst/>
                          </a:prstGeom>
                          <a:noFill/>
                          <a:ln w="9525">
                            <a:solidFill>
                              <a:srgbClr val="000000"/>
                            </a:solidFill>
                            <a:round/>
                            <a:tailEnd type="triangle" w="med" len="med"/>
                          </a:ln>
                        </wps:spPr>
                        <wps:bodyPr/>
                      </wps:wsp>
                      <wps:wsp>
                        <wps:cNvPr id="30" name="Line 121"/>
                        <wps:cNvCnPr>
                          <a:cxnSpLocks noChangeShapeType="1"/>
                        </wps:cNvCnPr>
                        <wps:spPr bwMode="auto">
                          <a:xfrm>
                            <a:off x="5397" y="10173"/>
                            <a:ext cx="0" cy="369"/>
                          </a:xfrm>
                          <a:prstGeom prst="line">
                            <a:avLst/>
                          </a:prstGeom>
                          <a:noFill/>
                          <a:ln w="9525">
                            <a:solidFill>
                              <a:srgbClr val="000000"/>
                            </a:solidFill>
                            <a:round/>
                            <a:tailEnd type="triangle" w="med" len="med"/>
                          </a:ln>
                        </wps:spPr>
                        <wps:bodyPr/>
                      </wps:wsp>
                      <wps:wsp>
                        <wps:cNvPr id="31" name="Line 122"/>
                        <wps:cNvCnPr>
                          <a:cxnSpLocks noChangeShapeType="1"/>
                        </wps:cNvCnPr>
                        <wps:spPr bwMode="auto">
                          <a:xfrm>
                            <a:off x="5397" y="11074"/>
                            <a:ext cx="0" cy="369"/>
                          </a:xfrm>
                          <a:prstGeom prst="line">
                            <a:avLst/>
                          </a:prstGeom>
                          <a:noFill/>
                          <a:ln w="9525">
                            <a:solidFill>
                              <a:srgbClr val="000000"/>
                            </a:solidFill>
                            <a:round/>
                            <a:tailEnd type="triangle" w="med" len="med"/>
                          </a:ln>
                        </wps:spPr>
                        <wps:bodyPr/>
                      </wps:wsp>
                      <wps:wsp>
                        <wps:cNvPr id="32" name="Line 123"/>
                        <wps:cNvCnPr>
                          <a:cxnSpLocks noChangeShapeType="1"/>
                        </wps:cNvCnPr>
                        <wps:spPr bwMode="auto">
                          <a:xfrm>
                            <a:off x="5397" y="11974"/>
                            <a:ext cx="0" cy="369"/>
                          </a:xfrm>
                          <a:prstGeom prst="line">
                            <a:avLst/>
                          </a:prstGeom>
                          <a:noFill/>
                          <a:ln w="9525">
                            <a:solidFill>
                              <a:srgbClr val="000000"/>
                            </a:solidFill>
                            <a:round/>
                            <a:tailEnd type="triangle" w="med" len="med"/>
                          </a:ln>
                        </wps:spPr>
                        <wps:bodyPr/>
                      </wps:wsp>
                      <wps:wsp>
                        <wps:cNvPr id="33" name="Line 124"/>
                        <wps:cNvCnPr>
                          <a:cxnSpLocks noChangeShapeType="1"/>
                        </wps:cNvCnPr>
                        <wps:spPr bwMode="auto">
                          <a:xfrm>
                            <a:off x="5397" y="14077"/>
                            <a:ext cx="0" cy="397"/>
                          </a:xfrm>
                          <a:prstGeom prst="line">
                            <a:avLst/>
                          </a:prstGeom>
                          <a:noFill/>
                          <a:ln w="9525">
                            <a:solidFill>
                              <a:srgbClr val="000000"/>
                            </a:solidFill>
                            <a:round/>
                            <a:tailEnd type="triangle" w="med" len="med"/>
                          </a:ln>
                        </wps:spPr>
                        <wps:bodyPr/>
                      </wps:wsp>
                      <wps:wsp>
                        <wps:cNvPr id="34" name="Line 125"/>
                        <wps:cNvCnPr>
                          <a:cxnSpLocks noChangeShapeType="1"/>
                        </wps:cNvCnPr>
                        <wps:spPr bwMode="auto">
                          <a:xfrm>
                            <a:off x="5397" y="12816"/>
                            <a:ext cx="0" cy="709"/>
                          </a:xfrm>
                          <a:prstGeom prst="line">
                            <a:avLst/>
                          </a:prstGeom>
                          <a:noFill/>
                          <a:ln w="9525">
                            <a:solidFill>
                              <a:srgbClr val="000000"/>
                            </a:solidFill>
                            <a:round/>
                            <a:tailEnd type="triangle" w="med" len="med"/>
                          </a:ln>
                        </wps:spPr>
                        <wps:bodyPr/>
                      </wps:wsp>
                      <wps:wsp>
                        <wps:cNvPr id="35" name="Line 126"/>
                        <wps:cNvCnPr>
                          <a:cxnSpLocks noChangeShapeType="1"/>
                        </wps:cNvCnPr>
                        <wps:spPr bwMode="auto">
                          <a:xfrm flipH="1">
                            <a:off x="8040" y="5495"/>
                            <a:ext cx="1560" cy="0"/>
                          </a:xfrm>
                          <a:prstGeom prst="line">
                            <a:avLst/>
                          </a:prstGeom>
                          <a:noFill/>
                          <a:ln w="9525">
                            <a:solidFill>
                              <a:srgbClr val="000000"/>
                            </a:solidFill>
                            <a:round/>
                            <a:tailEnd type="triangle" w="med" len="med"/>
                          </a:ln>
                        </wps:spPr>
                        <wps:bodyPr/>
                      </wps:wsp>
                      <wps:wsp>
                        <wps:cNvPr id="36" name="Line 127"/>
                        <wps:cNvCnPr>
                          <a:cxnSpLocks noChangeShapeType="1"/>
                        </wps:cNvCnPr>
                        <wps:spPr bwMode="auto">
                          <a:xfrm flipH="1">
                            <a:off x="8037" y="8914"/>
                            <a:ext cx="1560" cy="0"/>
                          </a:xfrm>
                          <a:prstGeom prst="line">
                            <a:avLst/>
                          </a:prstGeom>
                          <a:noFill/>
                          <a:ln w="9525">
                            <a:solidFill>
                              <a:srgbClr val="000000"/>
                            </a:solidFill>
                            <a:round/>
                            <a:tailEnd type="triangle" w="med" len="med"/>
                          </a:ln>
                        </wps:spPr>
                        <wps:bodyPr/>
                      </wps:wsp>
                      <wps:wsp>
                        <wps:cNvPr id="37" name="Line 128"/>
                        <wps:cNvCnPr>
                          <a:cxnSpLocks noChangeShapeType="1"/>
                        </wps:cNvCnPr>
                        <wps:spPr bwMode="auto">
                          <a:xfrm flipH="1">
                            <a:off x="8037" y="9815"/>
                            <a:ext cx="1560" cy="0"/>
                          </a:xfrm>
                          <a:prstGeom prst="line">
                            <a:avLst/>
                          </a:prstGeom>
                          <a:noFill/>
                          <a:ln w="9525">
                            <a:solidFill>
                              <a:srgbClr val="000000"/>
                            </a:solidFill>
                            <a:round/>
                            <a:tailEnd type="triangle" w="med" len="med"/>
                          </a:ln>
                        </wps:spPr>
                        <wps:bodyPr/>
                      </wps:wsp>
                      <wps:wsp>
                        <wps:cNvPr id="38" name="Line 129"/>
                        <wps:cNvCnPr>
                          <a:cxnSpLocks noChangeShapeType="1"/>
                        </wps:cNvCnPr>
                        <wps:spPr bwMode="auto">
                          <a:xfrm flipH="1">
                            <a:off x="8037" y="10713"/>
                            <a:ext cx="1560" cy="0"/>
                          </a:xfrm>
                          <a:prstGeom prst="line">
                            <a:avLst/>
                          </a:prstGeom>
                          <a:noFill/>
                          <a:ln w="9525">
                            <a:solidFill>
                              <a:srgbClr val="000000"/>
                            </a:solidFill>
                            <a:round/>
                            <a:tailEnd type="triangle" w="med" len="med"/>
                          </a:ln>
                        </wps:spPr>
                        <wps:bodyPr/>
                      </wps:wsp>
                      <wps:wsp>
                        <wps:cNvPr id="39" name="Line 130"/>
                        <wps:cNvCnPr>
                          <a:cxnSpLocks noChangeShapeType="1"/>
                        </wps:cNvCnPr>
                        <wps:spPr bwMode="auto">
                          <a:xfrm>
                            <a:off x="8637" y="4357"/>
                            <a:ext cx="0" cy="4377"/>
                          </a:xfrm>
                          <a:prstGeom prst="line">
                            <a:avLst/>
                          </a:prstGeom>
                          <a:noFill/>
                          <a:ln w="9525">
                            <a:solidFill>
                              <a:srgbClr val="000000"/>
                            </a:solidFill>
                            <a:round/>
                          </a:ln>
                        </wps:spPr>
                        <wps:bodyPr/>
                      </wps:wsp>
                      <wps:wsp>
                        <wps:cNvPr id="40" name="Line 131"/>
                        <wps:cNvCnPr>
                          <a:cxnSpLocks noChangeShapeType="1"/>
                        </wps:cNvCnPr>
                        <wps:spPr bwMode="auto">
                          <a:xfrm flipH="1">
                            <a:off x="8040" y="4357"/>
                            <a:ext cx="567" cy="0"/>
                          </a:xfrm>
                          <a:prstGeom prst="line">
                            <a:avLst/>
                          </a:prstGeom>
                          <a:noFill/>
                          <a:ln w="9525">
                            <a:solidFill>
                              <a:srgbClr val="000000"/>
                            </a:solidFill>
                            <a:round/>
                            <a:tailEnd type="triangle" w="med" len="med"/>
                          </a:ln>
                        </wps:spPr>
                        <wps:bodyPr/>
                      </wps:wsp>
                      <wps:wsp>
                        <wps:cNvPr id="41" name="Line 132"/>
                        <wps:cNvCnPr>
                          <a:cxnSpLocks noChangeShapeType="1"/>
                        </wps:cNvCnPr>
                        <wps:spPr bwMode="auto">
                          <a:xfrm flipH="1">
                            <a:off x="8037" y="8734"/>
                            <a:ext cx="567" cy="0"/>
                          </a:xfrm>
                          <a:prstGeom prst="line">
                            <a:avLst/>
                          </a:prstGeom>
                          <a:noFill/>
                          <a:ln w="9525">
                            <a:solidFill>
                              <a:srgbClr val="000000"/>
                            </a:solidFill>
                            <a:round/>
                            <a:tailEnd type="triangle" w="med" len="med"/>
                          </a:ln>
                        </wps:spPr>
                        <wps:bodyPr/>
                      </wps:wsp>
                      <wps:wsp>
                        <wps:cNvPr id="42" name="Line 133"/>
                        <wps:cNvCnPr>
                          <a:cxnSpLocks noChangeShapeType="1"/>
                        </wps:cNvCnPr>
                        <wps:spPr bwMode="auto">
                          <a:xfrm flipH="1">
                            <a:off x="8040" y="9095"/>
                            <a:ext cx="1191" cy="0"/>
                          </a:xfrm>
                          <a:prstGeom prst="line">
                            <a:avLst/>
                          </a:prstGeom>
                          <a:noFill/>
                          <a:ln w="9525">
                            <a:solidFill>
                              <a:srgbClr val="000000"/>
                            </a:solidFill>
                            <a:round/>
                            <a:tailEnd type="triangle" w="med" len="med"/>
                          </a:ln>
                        </wps:spPr>
                        <wps:bodyPr/>
                      </wps:wsp>
                      <wps:wsp>
                        <wps:cNvPr id="43" name="Line 134"/>
                        <wps:cNvCnPr>
                          <a:cxnSpLocks noChangeShapeType="1"/>
                        </wps:cNvCnPr>
                        <wps:spPr bwMode="auto">
                          <a:xfrm>
                            <a:off x="9237" y="3457"/>
                            <a:ext cx="0" cy="5613"/>
                          </a:xfrm>
                          <a:prstGeom prst="line">
                            <a:avLst/>
                          </a:prstGeom>
                          <a:noFill/>
                          <a:ln w="9525">
                            <a:solidFill>
                              <a:srgbClr val="000000"/>
                            </a:solidFill>
                            <a:round/>
                          </a:ln>
                        </wps:spPr>
                        <wps:bodyPr/>
                      </wps:wsp>
                      <wps:wsp>
                        <wps:cNvPr id="44" name="Line 135"/>
                        <wps:cNvCnPr>
                          <a:cxnSpLocks noChangeShapeType="1"/>
                        </wps:cNvCnPr>
                        <wps:spPr bwMode="auto">
                          <a:xfrm>
                            <a:off x="2397" y="4897"/>
                            <a:ext cx="0" cy="2835"/>
                          </a:xfrm>
                          <a:prstGeom prst="line">
                            <a:avLst/>
                          </a:prstGeom>
                          <a:noFill/>
                          <a:ln w="9525">
                            <a:solidFill>
                              <a:srgbClr val="000000"/>
                            </a:solidFill>
                            <a:prstDash val="sysDot"/>
                            <a:round/>
                          </a:ln>
                        </wps:spPr>
                        <wps:bodyPr/>
                      </wps:wsp>
                      <wps:wsp>
                        <wps:cNvPr id="45" name="Line 136"/>
                        <wps:cNvCnPr>
                          <a:cxnSpLocks noChangeShapeType="1"/>
                        </wps:cNvCnPr>
                        <wps:spPr bwMode="auto">
                          <a:xfrm flipH="1">
                            <a:off x="2397" y="4897"/>
                            <a:ext cx="6463" cy="0"/>
                          </a:xfrm>
                          <a:prstGeom prst="line">
                            <a:avLst/>
                          </a:prstGeom>
                          <a:noFill/>
                          <a:ln w="9525">
                            <a:solidFill>
                              <a:srgbClr val="000000"/>
                            </a:solidFill>
                            <a:prstDash val="sysDot"/>
                            <a:round/>
                          </a:ln>
                        </wps:spPr>
                        <wps:bodyPr/>
                      </wps:wsp>
                      <wps:wsp>
                        <wps:cNvPr id="46" name="Line 137"/>
                        <wps:cNvCnPr>
                          <a:cxnSpLocks noChangeShapeType="1"/>
                        </wps:cNvCnPr>
                        <wps:spPr bwMode="auto">
                          <a:xfrm>
                            <a:off x="2397" y="10293"/>
                            <a:ext cx="0" cy="2891"/>
                          </a:xfrm>
                          <a:prstGeom prst="line">
                            <a:avLst/>
                          </a:prstGeom>
                          <a:noFill/>
                          <a:ln w="9525">
                            <a:solidFill>
                              <a:srgbClr val="000000"/>
                            </a:solidFill>
                            <a:prstDash val="sysDot"/>
                            <a:round/>
                          </a:ln>
                        </wps:spPr>
                        <wps:bodyPr/>
                      </wps:wsp>
                      <wps:wsp>
                        <wps:cNvPr id="47" name="Line 138"/>
                        <wps:cNvCnPr>
                          <a:cxnSpLocks noChangeShapeType="1"/>
                        </wps:cNvCnPr>
                        <wps:spPr bwMode="auto">
                          <a:xfrm flipH="1">
                            <a:off x="2397" y="13177"/>
                            <a:ext cx="6463" cy="0"/>
                          </a:xfrm>
                          <a:prstGeom prst="line">
                            <a:avLst/>
                          </a:prstGeom>
                          <a:noFill/>
                          <a:ln w="9525">
                            <a:solidFill>
                              <a:srgbClr val="000000"/>
                            </a:solidFill>
                            <a:prstDash val="sysDot"/>
                            <a:round/>
                          </a:ln>
                        </wps:spPr>
                        <wps:bodyPr/>
                      </wps:wsp>
                      <wps:wsp>
                        <wps:cNvPr id="113" name="Line 139"/>
                        <wps:cNvCnPr>
                          <a:cxnSpLocks noChangeShapeType="1"/>
                        </wps:cNvCnPr>
                        <wps:spPr bwMode="auto">
                          <a:xfrm>
                            <a:off x="8877" y="4897"/>
                            <a:ext cx="0" cy="8277"/>
                          </a:xfrm>
                          <a:prstGeom prst="line">
                            <a:avLst/>
                          </a:prstGeom>
                          <a:noFill/>
                          <a:ln w="9525">
                            <a:solidFill>
                              <a:srgbClr val="000000"/>
                            </a:solidFill>
                            <a:prstDash val="sysDot"/>
                            <a:round/>
                          </a:ln>
                        </wps:spPr>
                        <wps:bodyPr/>
                      </wps:wsp>
                    </wpg:wgp>
                  </a:graphicData>
                </a:graphic>
              </wp:anchor>
            </w:drawing>
          </mc:Choice>
          <mc:Fallback>
            <w:pict>
              <v:group id="Group 94" o:spid="_x0000_s1026" o:spt="203" style="position:absolute;left:0pt;margin-left:6pt;margin-top:3.05pt;height:534.05pt;width:385.4pt;z-index:251668480;mso-width-relative:page;mso-height-relative:page;" coordorigin="2037,1657" coordsize="8160,13320" o:gfxdata="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">
                <o:lock v:ext="edit" aspectratio="f"/>
                <v:shape id="Text Box 95" o:spid="_x0000_s1026" o:spt="202" type="#_x0000_t202" style="position:absolute;left:2397;top:1657;height:503;width:4560;" fillcolor="#FFFFFF" filled="t" stroked="t" coordsize="21600,21600" o:gfxdata="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KiuubsAAADa&#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规划编制组学习有关文件、规范</w:t>
                        </w:r>
                      </w:p>
                    </w:txbxContent>
                  </v:textbox>
                </v:shape>
                <v:shape id="Text Box 96" o:spid="_x0000_s1026" o:spt="202" type="#_x0000_t202" style="position:absolute;left:2037;top:2830;height:468;width:1320;" fillcolor="#FFFFFF" filled="t" stroked="t" coordsize="21600,21600" o:gfxdata="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s8Mpq/&#10;AAAA2w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inset="1mm,1mm,1mm,1mm">
                    <w:txbxContent>
                      <w:p>
                        <w:pPr>
                          <w:spacing w:line="240" w:lineRule="atLeast"/>
                          <w:jc w:val="center"/>
                          <w:rPr>
                            <w:position w:val="2"/>
                            <w:sz w:val="21"/>
                            <w:szCs w:val="21"/>
                          </w:rPr>
                        </w:pPr>
                        <w:r>
                          <w:rPr>
                            <w:rFonts w:hint="eastAsia"/>
                            <w:position w:val="2"/>
                            <w:sz w:val="21"/>
                            <w:szCs w:val="21"/>
                          </w:rPr>
                          <w:t>收集资料</w:t>
                        </w:r>
                      </w:p>
                    </w:txbxContent>
                  </v:textbox>
                </v:shape>
                <v:shape id="Text Box 97" o:spid="_x0000_s1026" o:spt="202" type="#_x0000_t202" style="position:absolute;left:4197;top:2468;height:973;width:6000;" fillcolor="#FFFFFF" filled="t" stroked="t" coordsize="21600,21600" o:gfxdata="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E1aru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1:50000 东至县地质灾害调查成果；地质环境背景资料；相关部门规划衔接；县地质灾害隐患点资料等</w:t>
                        </w:r>
                      </w:p>
                    </w:txbxContent>
                  </v:textbox>
                </v:shape>
                <v:shape id="Text Box 98" o:spid="_x0000_s1026" o:spt="202" type="#_x0000_t202" style="position:absolute;left:3117;top:4055;height:482;width:4920;" fillcolor="#FFFFFF" filled="t" stroked="t" coordsize="21600,21600" o:gfxdata="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uZD3W/&#10;AAAA2w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地灾防治工作总结以及野外核查</w:t>
                        </w:r>
                      </w:p>
                    </w:txbxContent>
                  </v:textbox>
                </v:shape>
                <v:shape id="Text Box 99" o:spid="_x0000_s1026" o:spt="202" type="#_x0000_t202" style="position:absolute;left:3117;top:6034;height:482;width:4920;" fillcolor="#FFFFFF" filled="t" stroked="t" coordsize="21600,21600" o:gfxdata="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tLkQK/&#10;AAAA2w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分类目标</w:t>
                        </w:r>
                      </w:p>
                    </w:txbxContent>
                  </v:textbox>
                </v:shape>
                <v:shape id="Text Box 100" o:spid="_x0000_s1026" o:spt="202" type="#_x0000_t202" style="position:absolute;left:3117;top:6934;height:482;width:4920;" fillcolor="#FFFFFF" filled="t" stroked="t" coordsize="21600,21600" o:gfxdata="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Ac0mb4A&#10;AADbAAAADwAAAAAAAAABACAAAAAiAAAAZHJzL2Rvd25yZXYueG1sUEsBAhQAFAAAAAgAh07iQDMv&#10;BZ47AAAAOQAAABAAAAAAAAAAAQAgAAAADQEAAGRycy9zaGFwZXhtbC54bWxQSwUGAAAAAAYABgBb&#10;AQAAtwMAAAAA&#10;">
                  <v:fill on="t" focussize="0,0"/>
                  <v:stroke color="#000000" miterlimit="8" joinstyle="miter"/>
                  <v:imagedata o:title=""/>
                  <o:lock v:ext="edit" aspectratio="f"/>
                  <v:textbox inset="1mm,1mm,1mm,1mm">
                    <w:txbxContent>
                      <w:p>
                        <w:pPr>
                          <w:spacing w:line="240" w:lineRule="atLeast"/>
                          <w:jc w:val="center"/>
                          <w:rPr>
                            <w:position w:val="2"/>
                            <w:sz w:val="24"/>
                          </w:rPr>
                        </w:pPr>
                        <w:r>
                          <w:rPr>
                            <w:rFonts w:hint="eastAsia"/>
                            <w:position w:val="2"/>
                            <w:sz w:val="21"/>
                            <w:szCs w:val="21"/>
                          </w:rPr>
                          <w:t>地质灾害易发区划分</w:t>
                        </w:r>
                      </w:p>
                    </w:txbxContent>
                  </v:textbox>
                </v:shape>
                <v:shape id="Text Box 101" o:spid="_x0000_s1026" o:spt="202" type="#_x0000_t202" style="position:absolute;left:3117;top:7833;height:482;width:4920;" fillcolor="#FFFFFF" filled="t" stroked="t" coordsize="21600,21600" o:gfxdata="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WYoOu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重点防治区划分重点防护目标确定</w:t>
                        </w:r>
                      </w:p>
                    </w:txbxContent>
                  </v:textbox>
                </v:shape>
                <v:shape id="Text Box 102" o:spid="_x0000_s1026" o:spt="202" type="#_x0000_t202" style="position:absolute;left:3117;top:8734;height:482;width:4920;" fillcolor="#FFFFFF" filled="t" stroked="t" coordsize="21600,21600" o:gfxdata="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1AVwvQAA&#10;ANs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防治项目确定</w:t>
                        </w:r>
                      </w:p>
                    </w:txbxContent>
                  </v:textbox>
                </v:shape>
                <v:shape id="Text Box 103" o:spid="_x0000_s1026" o:spt="202" type="#_x0000_t202" style="position:absolute;left:3117;top:9634;height:482;width:4920;" fillcolor="#FFFFFF" filled="t" stroked="t" coordsize="21600,21600" o:gfxdata="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F37J2/&#10;AAAA3A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防治经费</w:t>
                        </w:r>
                      </w:p>
                    </w:txbxContent>
                  </v:textbox>
                </v:shape>
                <v:shape id="Text Box 104" o:spid="_x0000_s1026" o:spt="202" type="#_x0000_t202" style="position:absolute;left:3117;top:10533;height:482;width:4920;" fillcolor="#FFFFFF" filled="t" stroked="t" coordsize="21600,21600" o:gfxdata="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uO0kGvQAA&#10;ANwAAAAPAAAAAAAAAAEAIAAAACIAAABkcnMvZG93bnJldi54bWxQSwECFAAUAAAACACHTuJAMy8F&#10;njsAAAA5AAAAEAAAAAAAAAABACAAAAAMAQAAZHJzL3NoYXBleG1sLnhtbFBLBQYAAAAABgAGAFsB&#10;AAC2Aw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规划实施保证措施</w:t>
                        </w:r>
                      </w:p>
                    </w:txbxContent>
                  </v:textbox>
                </v:shape>
                <v:shape id="Text Box 105" o:spid="_x0000_s1026" o:spt="202" type="#_x0000_t202" style="position:absolute;left:3117;top:11435;height:482;width:4920;" fillcolor="#FFFFFF" filled="t" stroked="t" coordsize="21600,21600" o:gfxdata="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QaptL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讨论稿</w:t>
                        </w:r>
                      </w:p>
                    </w:txbxContent>
                  </v:textbox>
                </v:shape>
                <v:shape id="Text Box 106" o:spid="_x0000_s1026" o:spt="202" type="#_x0000_t202" style="position:absolute;left:3117;top:12335;height:482;width:4920;" fillcolor="#FFFFFF" filled="t" stroked="t" coordsize="21600,21600" o:gfxdata="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GSgwvugAAANsA&#10;AAAPAAAAAAAAAAEAIAAAACIAAABkcnMvZG93bnJldi54bWxQSwECFAAUAAAACACHTuJAMy8FnjsA&#10;AAA5AAAAEAAAAAAAAAABACAAAAAJAQAAZHJzL3NoYXBleG1sLnhtbFBLBQYAAAAABgAGAFsBAACz&#10;Aw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征求意见稿</w:t>
                        </w:r>
                      </w:p>
                    </w:txbxContent>
                  </v:textbox>
                </v:shape>
                <v:shape id="Text Box 107" o:spid="_x0000_s1026" o:spt="202" type="#_x0000_t202" style="position:absolute;left:3117;top:13537;height:482;width:4920;" fillcolor="#FFFFFF" filled="t" stroked="t" coordsize="21600,21600" o:gfxdata="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aYkli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送审稿</w:t>
                        </w:r>
                      </w:p>
                    </w:txbxContent>
                  </v:textbox>
                </v:shape>
                <v:shape id="Text Box 108" o:spid="_x0000_s1026" o:spt="202" type="#_x0000_t202" style="position:absolute;left:3117;top:14495;height:482;width:4920;" fillcolor="#FFFFFF" filled="t" stroked="t" coordsize="21600,21600" o:gfxdata="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Z1DfDugAAANsA&#10;AAAPAAAAAAAAAAEAIAAAACIAAABkcnMvZG93bnJldi54bWxQSwECFAAUAAAACACHTuJAMy8FnjsA&#10;AAA5AAAAEAAAAAAAAAABACAAAAAJAQAAZHJzL3NoYXBleG1sLnhtbFBLBQYAAAAABgAGAFsBAACz&#10;Aw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审定稿（出版）</w:t>
                        </w:r>
                      </w:p>
                    </w:txbxContent>
                  </v:textbox>
                </v:shape>
                <v:shape id="Text Box 109" o:spid="_x0000_s1026" o:spt="202" type="#_x0000_t202" style="position:absolute;left:3117;top:5134;height:482;width:4920;" fillcolor="#FFFFFF" filled="t" stroked="t" coordsize="21600,21600" o:gfxdata="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rYdka/&#10;AAAA3AAAAA8AAAAAAAAAAQAgAAAAIgAAAGRycy9kb3ducmV2LnhtbFBLAQIUABQAAAAIAIdO4kAz&#10;LwWeOwAAADkAAAAQAAAAAAAAAAEAIAAAAA4BAABkcnMvc2hhcGV4bWwueG1sUEsFBgAAAAAGAAYA&#10;WwEAALgDAAAAAA==&#10;">
                  <v:fill on="t" focussize="0,0"/>
                  <v:stroke color="#000000" miterlimit="8" joinstyle="miter"/>
                  <v:imagedata o:title=""/>
                  <o:lock v:ext="edit" aspectratio="f"/>
                  <v:textbox inset="1mm,1mm,1mm,1mm">
                    <w:txbxContent>
                      <w:p>
                        <w:pPr>
                          <w:spacing w:line="240" w:lineRule="atLeast"/>
                          <w:jc w:val="center"/>
                          <w:rPr>
                            <w:rFonts w:hint="eastAsia"/>
                            <w:position w:val="2"/>
                            <w:sz w:val="21"/>
                            <w:szCs w:val="21"/>
                          </w:rPr>
                        </w:pPr>
                        <w:r>
                          <w:rPr>
                            <w:rFonts w:hint="eastAsia"/>
                            <w:position w:val="2"/>
                            <w:sz w:val="21"/>
                            <w:szCs w:val="21"/>
                          </w:rPr>
                          <w:t>确定灾害防治规划总体目标</w:t>
                        </w:r>
                      </w:p>
                    </w:txbxContent>
                  </v:textbox>
                </v:shape>
                <v:shape id="Text Box 110" o:spid="_x0000_s1026" o:spt="202" type="#_x0000_t202" style="position:absolute;left:2154;top:7776;height:2494;width:480;" fillcolor="#FFFFFF" filled="t" stroked="t" coordsize="21600,21600" o:gfxdata="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cHBiq8AAAA&#10;2wAAAA8AAAAAAAAAAQAgAAAAIgAAAGRycy9kb3ducmV2LnhtbFBLAQIUABQAAAAIAIdO4kAzLwWe&#10;OwAAADkAAAAQAAAAAAAAAAEAIAAAAAsBAABkcnMvc2hhcGV4bWwueG1sUEsFBgAAAAAGAAYAWwEA&#10;ALUDAAAAAA==&#10;">
                  <v:fill on="t" focussize="0,0"/>
                  <v:stroke color="#000000" miterlimit="8" joinstyle="miter"/>
                  <v:imagedata o:title=""/>
                  <o:lock v:ext="edit" aspectratio="f"/>
                  <v:textbox inset="1mm,1mm,1mm,1mm">
                    <w:txbxContent>
                      <w:p>
                        <w:pPr>
                          <w:spacing w:line="240" w:lineRule="atLeast"/>
                          <w:jc w:val="center"/>
                          <w:rPr>
                            <w:position w:val="2"/>
                            <w:sz w:val="24"/>
                          </w:rPr>
                        </w:pPr>
                      </w:p>
                      <w:p>
                        <w:pPr>
                          <w:spacing w:line="240" w:lineRule="atLeast"/>
                          <w:jc w:val="center"/>
                          <w:rPr>
                            <w:position w:val="2"/>
                            <w:sz w:val="24"/>
                          </w:rPr>
                        </w:pPr>
                      </w:p>
                      <w:p>
                        <w:pPr>
                          <w:spacing w:line="240" w:lineRule="atLeast"/>
                          <w:jc w:val="center"/>
                          <w:rPr>
                            <w:position w:val="2"/>
                            <w:sz w:val="24"/>
                          </w:rPr>
                        </w:pPr>
                        <w:r>
                          <w:rPr>
                            <w:rFonts w:hint="eastAsia"/>
                            <w:position w:val="2"/>
                            <w:sz w:val="21"/>
                            <w:szCs w:val="21"/>
                          </w:rPr>
                          <w:t>规划文本</w:t>
                        </w:r>
                      </w:p>
                    </w:txbxContent>
                  </v:textbox>
                </v:shape>
                <v:shape id="Text Box 111" o:spid="_x0000_s1026" o:spt="202" type="#_x0000_t202" style="position:absolute;left:9597;top:5135;height:6083;width:600;" fillcolor="#FFFFFF" filled="t" stroked="t" coordsize="21600,21600" o:gfxdata="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FFlCrsAAADb&#10;AAAADwAAAAAAAAABACAAAAAiAAAAZHJzL2Rvd25yZXYueG1sUEsBAhQAFAAAAAgAh07iQDMvBZ47&#10;AAAAOQAAABAAAAAAAAAAAQAgAAAACgEAAGRycy9zaGFwZXhtbC54bWxQSwUGAAAAAAYABgBbAQAA&#10;tAMAAAAA&#10;">
                  <v:fill on="t" focussize="0,0"/>
                  <v:stroke color="#000000" miterlimit="8" joinstyle="miter"/>
                  <v:imagedata o:title=""/>
                  <o:lock v:ext="edit" aspectratio="f"/>
                  <v:textbox inset="1mm,1mm,1mm,1mm">
                    <w:txbxContent>
                      <w:p>
                        <w:pPr>
                          <w:spacing w:line="240" w:lineRule="atLeast"/>
                          <w:jc w:val="center"/>
                          <w:rPr>
                            <w:position w:val="2"/>
                            <w:sz w:val="24"/>
                          </w:rPr>
                        </w:pPr>
                      </w:p>
                      <w:p>
                        <w:pPr>
                          <w:spacing w:line="240" w:lineRule="atLeast"/>
                          <w:jc w:val="center"/>
                          <w:rPr>
                            <w:position w:val="2"/>
                            <w:sz w:val="24"/>
                          </w:rPr>
                        </w:pPr>
                      </w:p>
                      <w:p>
                        <w:pPr>
                          <w:spacing w:line="240" w:lineRule="atLeast"/>
                          <w:jc w:val="center"/>
                          <w:rPr>
                            <w:position w:val="2"/>
                            <w:sz w:val="24"/>
                          </w:rPr>
                        </w:pPr>
                      </w:p>
                      <w:p>
                        <w:pPr>
                          <w:spacing w:line="240" w:lineRule="atLeast"/>
                          <w:jc w:val="center"/>
                          <w:rPr>
                            <w:rFonts w:hint="eastAsia"/>
                            <w:position w:val="2"/>
                            <w:sz w:val="21"/>
                            <w:szCs w:val="21"/>
                          </w:rPr>
                        </w:pPr>
                        <w:r>
                          <w:rPr>
                            <w:rFonts w:hint="eastAsia"/>
                            <w:position w:val="2"/>
                            <w:sz w:val="21"/>
                            <w:szCs w:val="21"/>
                          </w:rPr>
                          <w:t>经</w:t>
                        </w:r>
                      </w:p>
                      <w:p>
                        <w:pPr>
                          <w:spacing w:line="240" w:lineRule="atLeast"/>
                          <w:jc w:val="center"/>
                          <w:rPr>
                            <w:rFonts w:hint="eastAsia"/>
                            <w:position w:val="2"/>
                            <w:sz w:val="21"/>
                            <w:szCs w:val="21"/>
                          </w:rPr>
                        </w:pPr>
                        <w:r>
                          <w:rPr>
                            <w:rFonts w:hint="eastAsia"/>
                            <w:position w:val="2"/>
                            <w:sz w:val="21"/>
                            <w:szCs w:val="21"/>
                          </w:rPr>
                          <w:t>济</w:t>
                        </w:r>
                      </w:p>
                      <w:p>
                        <w:pPr>
                          <w:spacing w:line="240" w:lineRule="atLeast"/>
                          <w:jc w:val="center"/>
                          <w:rPr>
                            <w:rFonts w:hint="eastAsia"/>
                            <w:position w:val="2"/>
                            <w:sz w:val="21"/>
                            <w:szCs w:val="21"/>
                          </w:rPr>
                        </w:pPr>
                        <w:r>
                          <w:rPr>
                            <w:rFonts w:hint="eastAsia"/>
                            <w:position w:val="2"/>
                            <w:sz w:val="21"/>
                            <w:szCs w:val="21"/>
                          </w:rPr>
                          <w:t>能</w:t>
                        </w:r>
                      </w:p>
                      <w:p>
                        <w:pPr>
                          <w:spacing w:line="240" w:lineRule="atLeast"/>
                          <w:jc w:val="center"/>
                          <w:rPr>
                            <w:rFonts w:hint="eastAsia"/>
                            <w:position w:val="2"/>
                            <w:sz w:val="21"/>
                            <w:szCs w:val="21"/>
                          </w:rPr>
                        </w:pPr>
                        <w:r>
                          <w:rPr>
                            <w:rFonts w:hint="eastAsia"/>
                            <w:position w:val="2"/>
                            <w:sz w:val="21"/>
                            <w:szCs w:val="21"/>
                          </w:rPr>
                          <w:t>力</w:t>
                        </w:r>
                      </w:p>
                      <w:p>
                        <w:pPr>
                          <w:spacing w:line="240" w:lineRule="atLeast"/>
                          <w:jc w:val="center"/>
                          <w:rPr>
                            <w:rFonts w:hint="eastAsia"/>
                            <w:position w:val="2"/>
                            <w:sz w:val="21"/>
                            <w:szCs w:val="21"/>
                          </w:rPr>
                        </w:pPr>
                      </w:p>
                      <w:p>
                        <w:pPr>
                          <w:spacing w:line="240" w:lineRule="atLeast"/>
                          <w:jc w:val="center"/>
                          <w:rPr>
                            <w:rFonts w:hint="eastAsia"/>
                            <w:position w:val="2"/>
                            <w:sz w:val="21"/>
                            <w:szCs w:val="21"/>
                          </w:rPr>
                        </w:pPr>
                      </w:p>
                      <w:p>
                        <w:pPr>
                          <w:spacing w:line="240" w:lineRule="atLeast"/>
                          <w:jc w:val="center"/>
                          <w:rPr>
                            <w:rFonts w:hint="eastAsia"/>
                            <w:position w:val="2"/>
                            <w:sz w:val="21"/>
                            <w:szCs w:val="21"/>
                          </w:rPr>
                        </w:pPr>
                      </w:p>
                      <w:p>
                        <w:pPr>
                          <w:spacing w:line="240" w:lineRule="atLeast"/>
                          <w:jc w:val="center"/>
                          <w:rPr>
                            <w:rFonts w:hint="eastAsia"/>
                            <w:position w:val="2"/>
                            <w:sz w:val="21"/>
                            <w:szCs w:val="21"/>
                          </w:rPr>
                        </w:pPr>
                        <w:r>
                          <w:rPr>
                            <w:rFonts w:hint="eastAsia"/>
                            <w:position w:val="2"/>
                            <w:sz w:val="21"/>
                            <w:szCs w:val="21"/>
                          </w:rPr>
                          <w:t>责</w:t>
                        </w:r>
                      </w:p>
                      <w:p>
                        <w:pPr>
                          <w:spacing w:line="240" w:lineRule="atLeast"/>
                          <w:jc w:val="center"/>
                          <w:rPr>
                            <w:rFonts w:hint="eastAsia"/>
                            <w:position w:val="2"/>
                            <w:sz w:val="21"/>
                            <w:szCs w:val="21"/>
                          </w:rPr>
                        </w:pPr>
                        <w:r>
                          <w:rPr>
                            <w:rFonts w:hint="eastAsia"/>
                            <w:position w:val="2"/>
                            <w:sz w:val="21"/>
                            <w:szCs w:val="21"/>
                          </w:rPr>
                          <w:t>任</w:t>
                        </w:r>
                      </w:p>
                      <w:p>
                        <w:pPr>
                          <w:spacing w:line="240" w:lineRule="atLeast"/>
                          <w:jc w:val="center"/>
                          <w:rPr>
                            <w:rFonts w:hint="eastAsia"/>
                            <w:position w:val="2"/>
                            <w:sz w:val="21"/>
                            <w:szCs w:val="21"/>
                          </w:rPr>
                        </w:pPr>
                        <w:r>
                          <w:rPr>
                            <w:rFonts w:hint="eastAsia"/>
                            <w:position w:val="2"/>
                            <w:sz w:val="21"/>
                            <w:szCs w:val="21"/>
                          </w:rPr>
                          <w:t>主</w:t>
                        </w:r>
                      </w:p>
                      <w:p>
                        <w:pPr>
                          <w:spacing w:line="240" w:lineRule="atLeast"/>
                          <w:jc w:val="center"/>
                          <w:rPr>
                            <w:position w:val="2"/>
                            <w:sz w:val="24"/>
                          </w:rPr>
                        </w:pPr>
                        <w:r>
                          <w:rPr>
                            <w:rFonts w:hint="eastAsia"/>
                            <w:position w:val="2"/>
                            <w:sz w:val="21"/>
                            <w:szCs w:val="21"/>
                          </w:rPr>
                          <w:t>体</w:t>
                        </w:r>
                      </w:p>
                    </w:txbxContent>
                  </v:textbox>
                </v:shape>
                <v:line id="Line 112" o:spid="_x0000_s1026" o:spt="20" style="position:absolute;left:2997;top:2247;height:567;width:0;" filled="f" stroked="t" coordsize="21600,21600" o:gfxdata="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ImTj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113" o:spid="_x0000_s1026" o:spt="20" style="position:absolute;left:3237;top:3329;height:737;width:0;" filled="f" stroked="t" coordsize="21600,21600" o:gfxdata="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bDfq/&#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14" o:spid="_x0000_s1026" o:spt="20" style="position:absolute;left:3357;top:3097;height:0;width:794;" filled="f" stroked="t" coordsize="21600,21600" o:gfxdata="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cXqGG/&#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15" o:spid="_x0000_s1026" o:spt="20" style="position:absolute;left:5397;top:4537;height:567;width:0;" filled="f" stroked="t" coordsize="21600,21600" o:gfxdata="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j+MBW/&#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16" o:spid="_x0000_s1026" o:spt="20" style="position:absolute;left:5397;top:5674;height:369;width:0;" filled="f" stroked="t" coordsize="21600,21600" o:gfxdata="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eylY6/&#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17" o:spid="_x0000_s1026" o:spt="20" style="position:absolute;left:5397;top:6575;height:369;width:0;" filled="f" stroked="t" coordsize="21600,21600" o:gfxdata="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MKM3wvQAA&#10;ANwAAAAPAAAAAAAAAAEAIAAAACIAAABkcnMvZG93bnJldi54bWxQSwECFAAUAAAACACHTuJAMy8F&#10;njsAAAA5AAAAEAAAAAAAAAABACAAAAAMAQAAZHJzL3NoYXBleG1sLnhtbFBLBQYAAAAABgAGAFsB&#10;AAC2AwAAAAA=&#10;">
                  <v:fill on="f" focussize="0,0"/>
                  <v:stroke color="#000000" joinstyle="round" endarrow="block"/>
                  <v:imagedata o:title=""/>
                  <o:lock v:ext="edit" aspectratio="f"/>
                </v:line>
                <v:line id="Line 118" o:spid="_x0000_s1026" o:spt="20" style="position:absolute;left:5397;top:7475;height:369;width:0;" filled="f" stroked="t" coordsize="21600,21600" o:gfxdata="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pTh74A&#10;AADc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119" o:spid="_x0000_s1026" o:spt="20" style="position:absolute;left:5397;top:8373;height:369;width:0;" filled="f" stroked="t" coordsize="21600,21600" o:gfxdata="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mzOhC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120" o:spid="_x0000_s1026" o:spt="20" style="position:absolute;left:5397;top:9274;height:369;width:0;" filled="f" stroked="t" coordsize="21600,21600" o:gfxdata="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b/n4u/&#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21" o:spid="_x0000_s1026" o:spt="20" style="position:absolute;left:5397;top:10173;height:369;width:0;" filled="f" stroked="t" coordsize="21600,21600" o:gfxdata="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hygy7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Line 122" o:spid="_x0000_s1026" o:spt="20" style="position:absolute;left:5397;top:11074;height:369;width:0;" filled="f" stroked="t" coordsize="21600,21600" o:gfxdata="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VAFU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123" o:spid="_x0000_s1026" o:spt="20" style="position:absolute;left:5397;top:11974;height:369;width:0;" filled="f" stroked="t" coordsize="21600,21600" o:gfxdata="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2Cmye/&#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24" o:spid="_x0000_s1026" o:spt="20" style="position:absolute;left:5397;top:14077;height:397;width:0;" filled="f" stroked="t" coordsize="21600,21600" o:gfxdata="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s4+vL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125" o:spid="_x0000_s1026" o:spt="20" style="position:absolute;left:5397;top:12816;height:709;width:0;" filled="f" stroked="t" coordsize="21600,21600" o:gfxdata="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0nps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26" o:spid="_x0000_s1026" o:spt="20" style="position:absolute;left:8040;top:5495;flip:x;height:0;width:1560;" filled="f" stroked="t" coordsize="21600,21600" o:gfxdata="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wJY+/&#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27" o:spid="_x0000_s1026" o:spt="20" style="position:absolute;left:8037;top:8914;flip:x;height:0;width:1560;" filled="f" stroked="t" coordsize="21600,21600" o:gfxdata="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hiu/i/&#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28" o:spid="_x0000_s1026" o:spt="20" style="position:absolute;left:8037;top:9815;flip:x;height:0;width:1560;" filled="f" stroked="t" coordsize="21600,21600" o:gfxdata="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cuHmO/&#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29" o:spid="_x0000_s1026" o:spt="20" style="position:absolute;left:8037;top:10713;flip:x;height:0;width:1560;" filled="f" stroked="t" coordsize="21600,21600" o:gfxdata="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axihG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130" o:spid="_x0000_s1026" o:spt="20" style="position:absolute;left:8637;top:4357;height:4377;width:0;" filled="f" stroked="t" coordsize="21600,21600" o:gfxdata="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MlVb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131" o:spid="_x0000_s1026" o:spt="20" style="position:absolute;left:8040;top:4357;flip:x;height:0;width:567;" filled="f" stroked="t" coordsize="21600,21600" o:gfxdata="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MH1arsAAADb&#10;AAAADwAAAAAAAAABACAAAAAiAAAAZHJzL2Rvd25yZXYueG1sUEsBAhQAFAAAAAgAh07iQDMvBZ47&#10;AAAAOQAAABAAAAAAAAAAAQAgAAAACgEAAGRycy9zaGFwZXhtbC54bWxQSwUGAAAAAAYABgBbAQAA&#10;tAMAAAAA&#10;">
                  <v:fill on="f" focussize="0,0"/>
                  <v:stroke color="#000000" joinstyle="round" endarrow="block"/>
                  <v:imagedata o:title=""/>
                  <o:lock v:ext="edit" aspectratio="f"/>
                </v:line>
                <v:line id="Line 132" o:spid="_x0000_s1026" o:spt="20" style="position:absolute;left:8037;top:8734;flip:x;height:0;width:567;" filled="f" stroked="t" coordsize="21600,21600" o:gfxdata="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41Q8b4A&#10;AADb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133" o:spid="_x0000_s1026" o:spt="20" style="position:absolute;left:8040;top:9095;flip:x;height:0;width:1191;" filled="f" stroked="t" coordsize="21600,21600" o:gfxdata="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9fzoa/&#10;AAAA2wAAAA8AAAAAAAAAAQAgAAAAIgAAAGRycy9kb3ducmV2LnhtbFBLAQIUABQAAAAIAIdO4kAz&#10;LwWeOwAAADkAAAAQAAAAAAAAAAEAIAAAAA4BAABkcnMvc2hhcGV4bWwueG1sUEsFBgAAAAAGAAYA&#10;WwEAALgDAAAAAA==&#10;">
                  <v:fill on="f" focussize="0,0"/>
                  <v:stroke color="#000000" joinstyle="round" endarrow="block"/>
                  <v:imagedata o:title=""/>
                  <o:lock v:ext="edit" aspectratio="f"/>
                </v:line>
                <v:line id="Line 134" o:spid="_x0000_s1026" o:spt="20" style="position:absolute;left:9237;top:3457;height:5613;width:0;" filled="f" stroked="t" coordsize="21600,21600" o:gfxdata="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F1hwr4A&#10;AADbAAAADwAAAAAAAAABACAAAAAiAAAAZHJzL2Rvd25yZXYueG1sUEsBAhQAFAAAAAgAh07iQDMv&#10;BZ47AAAAOQAAABAAAAAAAAAAAQAgAAAADQEAAGRycy9zaGFwZXhtbC54bWxQSwUGAAAAAAYABgBb&#10;AQAAtwMAAAAA&#10;">
                  <v:fill on="f" focussize="0,0"/>
                  <v:stroke color="#000000" joinstyle="round"/>
                  <v:imagedata o:title=""/>
                  <o:lock v:ext="edit" aspectratio="f"/>
                </v:line>
                <v:line id="Line 135" o:spid="_x0000_s1026" o:spt="20" style="position:absolute;left:2397;top:4897;height:2835;width:0;" filled="f" stroked="t" coordsize="21600,21600" o:gfxdata="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Zktjr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136" o:spid="_x0000_s1026" o:spt="20" style="position:absolute;left:2397;top:4897;flip:x;height:0;width:6463;" filled="f" stroked="t" coordsize="21600,21600" o:gfxdata="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ttRsbsAAADb&#10;AAAADwAAAAAAAAABACAAAAAiAAAAZHJzL2Rvd25yZXYueG1sUEsBAhQAFAAAAAgAh07iQDMvBZ47&#10;AAAAOQAAABAAAAAAAAAAAQAgAAAACgEAAGRycy9zaGFwZXhtbC54bWxQSwUGAAAAAAYABgBbAQAA&#10;tAMAAAAA&#10;">
                  <v:fill on="f" focussize="0,0"/>
                  <v:stroke color="#000000" joinstyle="round" dashstyle="1 1"/>
                  <v:imagedata o:title=""/>
                  <o:lock v:ext="edit" aspectratio="f"/>
                </v:line>
                <v:line id="Line 137" o:spid="_x0000_s1026" o:spt="20" style="position:absolute;left:2397;top:10293;height:2891;width:0;" filled="f" stroked="t" coordsize="21600,21600" o:gfxdata="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gcWYr4A&#10;AADbAAAADwAAAAAAAAABACAAAAAiAAAAZHJzL2Rvd25yZXYueG1sUEsBAhQAFAAAAAgAh07iQDMv&#10;BZ47AAAAOQAAABAAAAAAAAAAAQAgAAAADQEAAGRycy9zaGFwZXhtbC54bWxQSwUGAAAAAAYABgBb&#10;AQAAtwMAAAAA&#10;">
                  <v:fill on="f" focussize="0,0"/>
                  <v:stroke color="#000000" joinstyle="round" dashstyle="1 1"/>
                  <v:imagedata o:title=""/>
                  <o:lock v:ext="edit" aspectratio="f"/>
                </v:line>
                <v:line id="Line 138" o:spid="_x0000_s1026" o:spt="20" style="position:absolute;left:2397;top:13177;flip:x;height:0;width:6463;" filled="f" stroked="t" coordsize="21600,21600" o:gfxdata="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dUVqXbsAAADb&#10;AAAADwAAAAAAAAABACAAAAAiAAAAZHJzL2Rvd25yZXYueG1sUEsBAhQAFAAAAAgAh07iQDMvBZ47&#10;AAAAOQAAABAAAAAAAAAAAQAgAAAACgEAAGRycy9zaGFwZXhtbC54bWxQSwUGAAAAAAYABgBbAQAA&#10;tAMAAAAA&#10;">
                  <v:fill on="f" focussize="0,0"/>
                  <v:stroke color="#000000" joinstyle="round" dashstyle="1 1"/>
                  <v:imagedata o:title=""/>
                  <o:lock v:ext="edit" aspectratio="f"/>
                </v:line>
                <v:line id="Line 139" o:spid="_x0000_s1026" o:spt="20" style="position:absolute;left:8877;top:4897;height:8277;width:0;" filled="f" stroked="t" coordsize="21600,21600" o:gfxdata="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w8RarsAAADc&#10;AAAADwAAAAAAAAABACAAAAAiAAAAZHJzL2Rvd25yZXYueG1sUEsBAhQAFAAAAAgAh07iQDMvBZ47&#10;AAAAOQAAABAAAAAAAAAAAQAgAAAACgEAAGRycy9zaGFwZXhtbC54bWxQSwUGAAAAAAYABgBbAQAA&#10;tAMAAAAA&#10;">
                  <v:fill on="f" focussize="0,0"/>
                  <v:stroke color="#000000" joinstyle="round" dashstyle="1 1"/>
                  <v:imagedata o:title=""/>
                  <o:lock v:ext="edit" aspectratio="f"/>
                </v:line>
              </v:group>
            </w:pict>
          </mc:Fallback>
        </mc:AlternateContent>
      </w:r>
    </w:p>
    <w:p>
      <w:pPr>
        <w:autoSpaceDE w:val="0"/>
        <w:autoSpaceDN w:val="0"/>
        <w:adjustRightInd w:val="0"/>
        <w:snapToGrid w:val="0"/>
        <w:spacing w:line="360" w:lineRule="auto"/>
        <w:ind w:firstLine="556" w:firstLineChars="200"/>
        <w:jc w:val="left"/>
        <w:rPr>
          <w:rFonts w:hint="eastAsia" w:ascii="微软雅黑" w:hAnsi="微软雅黑" w:eastAsia="微软雅黑" w:cstheme="minorBidi"/>
          <w:color w:val="auto"/>
          <w:spacing w:val="-11"/>
          <w:sz w:val="30"/>
          <w:szCs w:val="30"/>
          <w:lang w:val="en-US" w:eastAsia="en-US" w:bidi="ar-SA"/>
        </w:rPr>
      </w:pPr>
    </w:p>
    <w:p>
      <w:pPr>
        <w:autoSpaceDE w:val="0"/>
        <w:autoSpaceDN w:val="0"/>
        <w:adjustRightInd w:val="0"/>
        <w:snapToGrid w:val="0"/>
        <w:spacing w:line="360" w:lineRule="auto"/>
        <w:ind w:firstLine="560" w:firstLineChars="200"/>
        <w:jc w:val="left"/>
        <w:rPr>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ind w:firstLine="562" w:firstLineChars="200"/>
        <w:jc w:val="center"/>
        <w:rPr>
          <w:rFonts w:hint="eastAsia" w:ascii="仿宋" w:hAnsi="仿宋" w:eastAsia="仿宋"/>
          <w:b/>
          <w:color w:val="auto"/>
          <w:sz w:val="28"/>
          <w:szCs w:val="28"/>
        </w:rPr>
      </w:pPr>
    </w:p>
    <w:p>
      <w:pPr>
        <w:adjustRightInd w:val="0"/>
        <w:snapToGrid w:val="0"/>
        <w:spacing w:before="120" w:beforeLines="50" w:line="360" w:lineRule="auto"/>
        <w:jc w:val="center"/>
        <w:rPr>
          <w:rFonts w:ascii="仿宋" w:hAnsi="仿宋" w:eastAsia="仿宋"/>
          <w:b w:val="0"/>
          <w:bCs/>
          <w:color w:val="auto"/>
          <w:sz w:val="30"/>
          <w:szCs w:val="30"/>
        </w:rPr>
      </w:pPr>
      <w:r>
        <w:rPr>
          <w:rFonts w:hint="eastAsia" w:ascii="仿宋" w:hAnsi="仿宋" w:eastAsia="仿宋"/>
          <w:b w:val="0"/>
          <w:bCs/>
          <w:color w:val="auto"/>
          <w:sz w:val="28"/>
          <w:szCs w:val="28"/>
        </w:rPr>
        <w:t>图1</w:t>
      </w:r>
      <w:r>
        <w:rPr>
          <w:rFonts w:ascii="仿宋" w:hAnsi="仿宋" w:eastAsia="仿宋"/>
          <w:b w:val="0"/>
          <w:bCs/>
          <w:color w:val="auto"/>
          <w:sz w:val="28"/>
          <w:szCs w:val="28"/>
        </w:rPr>
        <w:t>-</w:t>
      </w:r>
      <w:r>
        <w:rPr>
          <w:rFonts w:hint="eastAsia" w:ascii="仿宋" w:hAnsi="仿宋" w:eastAsia="仿宋"/>
          <w:b w:val="0"/>
          <w:bCs/>
          <w:color w:val="auto"/>
          <w:sz w:val="28"/>
          <w:szCs w:val="28"/>
        </w:rPr>
        <w:t>1  规划编制技术路线图</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lang w:val="en-US" w:eastAsia="zh-CN"/>
        </w:rPr>
      </w:pPr>
      <w:r>
        <w:rPr>
          <w:rFonts w:ascii="仿宋" w:hAnsi="仿宋" w:eastAsia="仿宋"/>
          <w:color w:val="auto"/>
          <w:sz w:val="30"/>
          <w:szCs w:val="30"/>
        </w:rPr>
        <w:t>2020</w:t>
      </w:r>
      <w:r>
        <w:rPr>
          <w:rFonts w:hint="eastAsia" w:ascii="仿宋" w:hAnsi="仿宋" w:eastAsia="仿宋"/>
          <w:color w:val="auto"/>
          <w:sz w:val="30"/>
          <w:szCs w:val="30"/>
        </w:rPr>
        <w:t>年</w:t>
      </w:r>
      <w:r>
        <w:rPr>
          <w:rFonts w:hint="eastAsia" w:ascii="仿宋" w:hAnsi="仿宋" w:eastAsia="仿宋"/>
          <w:color w:val="auto"/>
          <w:sz w:val="30"/>
          <w:szCs w:val="30"/>
          <w:lang w:val="en-US" w:eastAsia="zh-CN"/>
        </w:rPr>
        <w:t>9</w:t>
      </w:r>
      <w:r>
        <w:rPr>
          <w:rFonts w:hint="eastAsia" w:ascii="仿宋" w:hAnsi="仿宋" w:eastAsia="仿宋"/>
          <w:color w:val="auto"/>
          <w:sz w:val="30"/>
          <w:szCs w:val="30"/>
        </w:rPr>
        <w:t>月，对上一轮地质灾害防治规划执行情况进行了评价，完成了“十三五”期间全市地质灾害防治工作总结，对“十四五”期间全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地质灾害发展趋势和防灾形势进行了研判，</w:t>
      </w:r>
      <w:r>
        <w:rPr>
          <w:rFonts w:hint="eastAsia" w:ascii="仿宋" w:hAnsi="仿宋" w:eastAsia="仿宋"/>
          <w:color w:val="auto"/>
          <w:sz w:val="30"/>
          <w:szCs w:val="30"/>
          <w:lang w:val="en-US" w:eastAsia="zh-CN"/>
        </w:rPr>
        <w:t>初步</w:t>
      </w:r>
      <w:r>
        <w:rPr>
          <w:rFonts w:hint="eastAsia" w:ascii="仿宋" w:hAnsi="仿宋" w:eastAsia="仿宋"/>
          <w:color w:val="auto"/>
          <w:sz w:val="30"/>
          <w:szCs w:val="30"/>
        </w:rPr>
        <w:t>完成了 “十四五”规划目标任务的设定、确立了规划原则和指导思想。</w:t>
      </w:r>
      <w:r>
        <w:rPr>
          <w:rFonts w:hint="eastAsia" w:ascii="仿宋" w:hAnsi="仿宋" w:eastAsia="仿宋"/>
          <w:color w:val="auto"/>
          <w:sz w:val="30"/>
          <w:szCs w:val="30"/>
          <w:lang w:val="en-US" w:eastAsia="zh-CN"/>
        </w:rPr>
        <w:t>10</w:t>
      </w:r>
      <w:r>
        <w:rPr>
          <w:rFonts w:hint="eastAsia" w:ascii="仿宋" w:hAnsi="仿宋" w:eastAsia="仿宋"/>
          <w:color w:val="auto"/>
          <w:sz w:val="30"/>
          <w:szCs w:val="30"/>
        </w:rPr>
        <w:t>月，项目组正式启动了规划文本的编制及地质灾害隐患点分布图、地质灾害易发区分布图、地质灾害防治规划图的编图工作。按照投标响应文件的承诺，先后赴县、区核查部分已完成治理的地质灾害隐患点，重点对治理措施与成效进行核查。</w:t>
      </w:r>
      <w:r>
        <w:rPr>
          <w:rFonts w:hint="eastAsia" w:ascii="仿宋" w:hAnsi="仿宋" w:eastAsia="仿宋"/>
          <w:color w:val="auto"/>
          <w:sz w:val="30"/>
          <w:szCs w:val="30"/>
          <w:lang w:val="en-US" w:eastAsia="zh-CN"/>
        </w:rPr>
        <w:t>因市级规划一直未发布，为保证下级规划与上级规划的衔接，本规划编制工作自动延期。</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202</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年</w:t>
      </w:r>
      <w:r>
        <w:rPr>
          <w:rFonts w:ascii="仿宋" w:hAnsi="仿宋" w:eastAsia="仿宋"/>
          <w:color w:val="auto"/>
          <w:sz w:val="30"/>
          <w:szCs w:val="30"/>
        </w:rPr>
        <w:t>1</w:t>
      </w:r>
      <w:r>
        <w:rPr>
          <w:rFonts w:hint="eastAsia" w:ascii="仿宋" w:hAnsi="仿宋" w:eastAsia="仿宋"/>
          <w:color w:val="auto"/>
          <w:sz w:val="30"/>
          <w:szCs w:val="30"/>
          <w:lang w:val="en-US" w:eastAsia="zh-CN"/>
        </w:rPr>
        <w:t>0</w:t>
      </w:r>
      <w:r>
        <w:rPr>
          <w:rFonts w:hint="eastAsia" w:ascii="仿宋" w:hAnsi="仿宋" w:eastAsia="仿宋"/>
          <w:color w:val="auto"/>
          <w:sz w:val="30"/>
          <w:szCs w:val="30"/>
        </w:rPr>
        <w:t>月，项目组完成了规划文本、规划图件、表的编制，向</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自然资源和规划局提交了“规划”征求意见稿。</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w:t>
      </w:r>
      <w:r>
        <w:rPr>
          <w:rFonts w:ascii="仿宋" w:hAnsi="仿宋" w:eastAsia="仿宋"/>
          <w:color w:val="auto"/>
          <w:sz w:val="30"/>
          <w:szCs w:val="30"/>
        </w:rPr>
        <w:t>0</w:t>
      </w:r>
      <w:r>
        <w:rPr>
          <w:rFonts w:hint="eastAsia" w:ascii="仿宋" w:hAnsi="仿宋" w:eastAsia="仿宋"/>
          <w:color w:val="auto"/>
          <w:sz w:val="30"/>
          <w:szCs w:val="30"/>
        </w:rPr>
        <w:t>2</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年11月</w:t>
      </w:r>
      <w:r>
        <w:rPr>
          <w:rFonts w:hint="eastAsia" w:ascii="仿宋" w:hAnsi="仿宋" w:eastAsia="仿宋"/>
          <w:color w:val="auto"/>
          <w:sz w:val="30"/>
          <w:szCs w:val="30"/>
          <w:lang w:val="en-US" w:eastAsia="zh-CN"/>
        </w:rPr>
        <w:t>25日</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自然资源和规划局印发“关于《</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地质灾害防治“十四五”规划（2021-2025）》征求意见的函”（</w:t>
      </w:r>
      <w:r>
        <w:rPr>
          <w:rFonts w:hint="eastAsia" w:ascii="仿宋" w:hAnsi="仿宋" w:eastAsia="仿宋"/>
          <w:color w:val="auto"/>
          <w:sz w:val="30"/>
          <w:szCs w:val="30"/>
          <w:lang w:val="en-US" w:eastAsia="zh-CN"/>
        </w:rPr>
        <w:t>东</w:t>
      </w:r>
      <w:r>
        <w:rPr>
          <w:rFonts w:hint="eastAsia" w:ascii="仿宋" w:hAnsi="仿宋" w:eastAsia="仿宋"/>
          <w:color w:val="auto"/>
          <w:sz w:val="30"/>
          <w:szCs w:val="30"/>
        </w:rPr>
        <w:t>自然资规函〔</w:t>
      </w:r>
      <w:r>
        <w:rPr>
          <w:rFonts w:ascii="仿宋" w:hAnsi="仿宋" w:eastAsia="仿宋"/>
          <w:color w:val="auto"/>
          <w:sz w:val="30"/>
          <w:szCs w:val="30"/>
        </w:rPr>
        <w:t>202</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w:t>
      </w:r>
      <w:r>
        <w:rPr>
          <w:rFonts w:ascii="仿宋" w:hAnsi="仿宋" w:eastAsia="仿宋"/>
          <w:color w:val="auto"/>
          <w:sz w:val="30"/>
          <w:szCs w:val="30"/>
        </w:rPr>
        <w:t>4</w:t>
      </w:r>
      <w:r>
        <w:rPr>
          <w:rFonts w:hint="eastAsia" w:ascii="仿宋" w:hAnsi="仿宋" w:eastAsia="仿宋"/>
          <w:color w:val="auto"/>
          <w:sz w:val="30"/>
          <w:szCs w:val="30"/>
          <w:lang w:val="en-US" w:eastAsia="zh-CN"/>
        </w:rPr>
        <w:t>68</w:t>
      </w:r>
      <w:r>
        <w:rPr>
          <w:rFonts w:hint="eastAsia" w:ascii="仿宋" w:hAnsi="仿宋" w:eastAsia="仿宋"/>
          <w:color w:val="auto"/>
          <w:sz w:val="30"/>
          <w:szCs w:val="30"/>
        </w:rPr>
        <w:t>号，附件</w:t>
      </w:r>
      <w:r>
        <w:rPr>
          <w:rFonts w:hint="eastAsia" w:ascii="仿宋" w:hAnsi="仿宋" w:eastAsia="仿宋"/>
          <w:color w:val="auto"/>
          <w:sz w:val="30"/>
          <w:szCs w:val="30"/>
          <w:lang w:val="en-US" w:eastAsia="zh-CN"/>
        </w:rPr>
        <w:t>一</w:t>
      </w:r>
      <w:r>
        <w:rPr>
          <w:rFonts w:hint="eastAsia" w:ascii="仿宋" w:hAnsi="仿宋" w:eastAsia="仿宋"/>
          <w:color w:val="auto"/>
          <w:sz w:val="30"/>
          <w:szCs w:val="30"/>
        </w:rPr>
        <w:t>），向各</w:t>
      </w:r>
      <w:r>
        <w:rPr>
          <w:rFonts w:hint="eastAsia" w:ascii="仿宋" w:hAnsi="仿宋" w:eastAsia="仿宋"/>
          <w:color w:val="auto"/>
          <w:sz w:val="30"/>
          <w:szCs w:val="30"/>
          <w:lang w:val="en-US" w:eastAsia="zh-CN"/>
        </w:rPr>
        <w:t>乡、镇</w:t>
      </w:r>
      <w:r>
        <w:rPr>
          <w:rFonts w:hint="eastAsia" w:ascii="仿宋" w:hAnsi="仿宋" w:eastAsia="仿宋"/>
          <w:color w:val="auto"/>
          <w:sz w:val="30"/>
          <w:szCs w:val="30"/>
        </w:rPr>
        <w:t>人民政府，</w:t>
      </w:r>
      <w:r>
        <w:rPr>
          <w:rFonts w:hint="eastAsia" w:ascii="仿宋" w:hAnsi="仿宋" w:eastAsia="仿宋"/>
          <w:color w:val="auto"/>
          <w:sz w:val="30"/>
          <w:szCs w:val="30"/>
          <w:lang w:val="en-US" w:eastAsia="zh-CN"/>
        </w:rPr>
        <w:t>县直有关</w:t>
      </w:r>
      <w:r>
        <w:rPr>
          <w:rFonts w:hint="eastAsia" w:ascii="仿宋" w:hAnsi="仿宋" w:eastAsia="仿宋"/>
          <w:color w:val="auto"/>
          <w:sz w:val="30"/>
          <w:szCs w:val="30"/>
        </w:rPr>
        <w:t>单位征求意见。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highlight w:val="none"/>
        </w:rPr>
      </w:pPr>
      <w:r>
        <w:rPr>
          <w:rFonts w:hint="eastAsia" w:ascii="仿宋" w:hAnsi="仿宋" w:eastAsia="仿宋"/>
          <w:color w:val="auto"/>
          <w:sz w:val="30"/>
          <w:szCs w:val="30"/>
        </w:rPr>
        <w:t>202</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年</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月，</w:t>
      </w:r>
      <w:r>
        <w:rPr>
          <w:rFonts w:hint="eastAsia" w:ascii="仿宋" w:hAnsi="仿宋" w:eastAsia="仿宋"/>
          <w:color w:val="auto"/>
          <w:sz w:val="30"/>
          <w:szCs w:val="30"/>
          <w:highlight w:val="none"/>
          <w:lang w:val="en-US" w:eastAsia="zh-CN"/>
        </w:rPr>
        <w:t>池州市</w:t>
      </w:r>
      <w:r>
        <w:rPr>
          <w:rFonts w:hint="eastAsia" w:ascii="仿宋" w:hAnsi="仿宋" w:eastAsia="仿宋"/>
          <w:color w:val="auto"/>
          <w:sz w:val="30"/>
          <w:szCs w:val="30"/>
          <w:highlight w:val="none"/>
        </w:rPr>
        <w:t>自然资源和规划局组织专家对《东至县地质灾害防治“十四五”</w:t>
      </w:r>
      <w:r>
        <w:rPr>
          <w:rFonts w:hint="eastAsia" w:ascii="仿宋" w:hAnsi="仿宋" w:eastAsia="仿宋"/>
          <w:color w:val="auto"/>
          <w:sz w:val="30"/>
          <w:szCs w:val="30"/>
        </w:rPr>
        <w:t>规划</w:t>
      </w:r>
      <w:r>
        <w:rPr>
          <w:rFonts w:hint="eastAsia" w:ascii="仿宋" w:hAnsi="仿宋" w:eastAsia="仿宋"/>
          <w:color w:val="auto"/>
          <w:sz w:val="30"/>
          <w:szCs w:val="30"/>
          <w:highlight w:val="none"/>
        </w:rPr>
        <w:t>（2021-2025）》进行市级审查。</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w:t>
      </w:r>
      <w:r>
        <w:rPr>
          <w:rFonts w:ascii="仿宋" w:hAnsi="仿宋" w:eastAsia="仿宋"/>
          <w:color w:val="auto"/>
          <w:sz w:val="30"/>
          <w:szCs w:val="30"/>
        </w:rPr>
        <w:t>0</w:t>
      </w:r>
      <w:r>
        <w:rPr>
          <w:rFonts w:hint="eastAsia" w:ascii="仿宋" w:hAnsi="仿宋" w:eastAsia="仿宋"/>
          <w:color w:val="auto"/>
          <w:sz w:val="30"/>
          <w:szCs w:val="30"/>
        </w:rPr>
        <w:t>2</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年</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月</w:t>
      </w:r>
      <w:r>
        <w:rPr>
          <w:rFonts w:hint="eastAsia" w:ascii="仿宋" w:hAnsi="仿宋" w:eastAsia="仿宋"/>
          <w:color w:val="auto"/>
          <w:sz w:val="30"/>
          <w:szCs w:val="30"/>
          <w:lang w:val="en-US" w:eastAsia="zh-CN"/>
        </w:rPr>
        <w:t>1日</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自然资源和规划局印发“关于</w:t>
      </w:r>
      <w:r>
        <w:rPr>
          <w:rFonts w:hint="eastAsia" w:ascii="仿宋" w:hAnsi="仿宋" w:eastAsia="仿宋"/>
          <w:color w:val="auto"/>
          <w:sz w:val="30"/>
          <w:szCs w:val="30"/>
          <w:lang w:val="en-US" w:eastAsia="zh-CN"/>
        </w:rPr>
        <w:t>再次征求</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w:t>
      </w:r>
      <w:r>
        <w:rPr>
          <w:rFonts w:hint="eastAsia" w:ascii="仿宋" w:hAnsi="仿宋" w:eastAsia="仿宋"/>
          <w:color w:val="auto"/>
          <w:sz w:val="30"/>
          <w:szCs w:val="30"/>
          <w:lang w:val="en-US" w:eastAsia="zh-CN"/>
        </w:rPr>
        <w:t>防治</w:t>
      </w:r>
      <w:r>
        <w:rPr>
          <w:rFonts w:hint="eastAsia" w:ascii="仿宋" w:hAnsi="仿宋" w:eastAsia="仿宋"/>
          <w:color w:val="auto"/>
          <w:sz w:val="30"/>
          <w:szCs w:val="30"/>
        </w:rPr>
        <w:t>“十四五”规划（2021-2025）》</w:t>
      </w:r>
      <w:r>
        <w:rPr>
          <w:rFonts w:hint="eastAsia" w:ascii="仿宋" w:hAnsi="仿宋" w:eastAsia="仿宋"/>
          <w:color w:val="auto"/>
          <w:sz w:val="30"/>
          <w:szCs w:val="30"/>
          <w:lang w:eastAsia="zh-CN"/>
        </w:rPr>
        <w:t>（</w:t>
      </w:r>
      <w:r>
        <w:rPr>
          <w:rFonts w:hint="eastAsia" w:ascii="仿宋" w:hAnsi="仿宋" w:eastAsia="仿宋"/>
          <w:color w:val="auto"/>
          <w:sz w:val="30"/>
          <w:szCs w:val="30"/>
        </w:rPr>
        <w:t>征求意见稿</w:t>
      </w:r>
      <w:r>
        <w:rPr>
          <w:rFonts w:hint="eastAsia" w:ascii="仿宋" w:hAnsi="仿宋" w:eastAsia="仿宋"/>
          <w:color w:val="auto"/>
          <w:sz w:val="30"/>
          <w:szCs w:val="30"/>
          <w:lang w:eastAsia="zh-CN"/>
        </w:rPr>
        <w:t>）</w:t>
      </w:r>
      <w:r>
        <w:rPr>
          <w:rFonts w:hint="eastAsia" w:ascii="仿宋" w:hAnsi="仿宋" w:eastAsia="仿宋"/>
          <w:color w:val="auto"/>
          <w:sz w:val="30"/>
          <w:szCs w:val="30"/>
        </w:rPr>
        <w:t>意见的函”（</w:t>
      </w:r>
      <w:r>
        <w:rPr>
          <w:rFonts w:hint="eastAsia" w:ascii="仿宋" w:hAnsi="仿宋" w:eastAsia="仿宋"/>
          <w:color w:val="auto"/>
          <w:sz w:val="30"/>
          <w:szCs w:val="30"/>
          <w:lang w:val="en-US" w:eastAsia="zh-CN"/>
        </w:rPr>
        <w:t>东</w:t>
      </w:r>
      <w:r>
        <w:rPr>
          <w:rFonts w:hint="eastAsia" w:ascii="仿宋" w:hAnsi="仿宋" w:eastAsia="仿宋"/>
          <w:color w:val="auto"/>
          <w:sz w:val="30"/>
          <w:szCs w:val="30"/>
        </w:rPr>
        <w:t>自然资规函〔</w:t>
      </w:r>
      <w:r>
        <w:rPr>
          <w:rFonts w:ascii="仿宋" w:hAnsi="仿宋" w:eastAsia="仿宋"/>
          <w:color w:val="auto"/>
          <w:sz w:val="30"/>
          <w:szCs w:val="30"/>
        </w:rPr>
        <w:t>202</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w:t>
      </w:r>
      <w:r>
        <w:rPr>
          <w:rFonts w:hint="eastAsia" w:ascii="仿宋" w:hAnsi="仿宋" w:eastAsia="仿宋"/>
          <w:color w:val="auto"/>
          <w:sz w:val="30"/>
          <w:szCs w:val="30"/>
          <w:lang w:val="en-US" w:eastAsia="zh-CN"/>
        </w:rPr>
        <w:t>50</w:t>
      </w:r>
      <w:r>
        <w:rPr>
          <w:rFonts w:hint="eastAsia" w:ascii="仿宋" w:hAnsi="仿宋" w:eastAsia="仿宋"/>
          <w:color w:val="auto"/>
          <w:sz w:val="30"/>
          <w:szCs w:val="30"/>
        </w:rPr>
        <w:t>号，附件</w:t>
      </w:r>
      <w:r>
        <w:rPr>
          <w:rFonts w:hint="eastAsia" w:ascii="仿宋" w:hAnsi="仿宋" w:eastAsia="仿宋"/>
          <w:color w:val="auto"/>
          <w:sz w:val="30"/>
          <w:szCs w:val="30"/>
          <w:lang w:val="en-US" w:eastAsia="zh-CN"/>
        </w:rPr>
        <w:t>二</w:t>
      </w:r>
      <w:r>
        <w:rPr>
          <w:rFonts w:hint="eastAsia" w:ascii="仿宋" w:hAnsi="仿宋" w:eastAsia="仿宋"/>
          <w:color w:val="auto"/>
          <w:sz w:val="30"/>
          <w:szCs w:val="30"/>
        </w:rPr>
        <w:t>），</w:t>
      </w:r>
      <w:r>
        <w:rPr>
          <w:rFonts w:hint="eastAsia" w:ascii="仿宋" w:hAnsi="仿宋" w:eastAsia="仿宋"/>
          <w:color w:val="auto"/>
          <w:sz w:val="30"/>
          <w:szCs w:val="30"/>
          <w:lang w:val="en-US" w:eastAsia="zh-CN"/>
        </w:rPr>
        <w:t>第二次</w:t>
      </w:r>
      <w:r>
        <w:rPr>
          <w:rFonts w:hint="eastAsia" w:ascii="仿宋" w:hAnsi="仿宋" w:eastAsia="仿宋"/>
          <w:color w:val="auto"/>
          <w:sz w:val="30"/>
          <w:szCs w:val="30"/>
        </w:rPr>
        <w:t>向各</w:t>
      </w:r>
      <w:r>
        <w:rPr>
          <w:rFonts w:hint="eastAsia" w:ascii="仿宋" w:hAnsi="仿宋" w:eastAsia="仿宋"/>
          <w:color w:val="auto"/>
          <w:sz w:val="30"/>
          <w:szCs w:val="30"/>
          <w:lang w:val="en-US" w:eastAsia="zh-CN"/>
        </w:rPr>
        <w:t>乡、镇</w:t>
      </w:r>
      <w:r>
        <w:rPr>
          <w:rFonts w:hint="eastAsia" w:ascii="仿宋" w:hAnsi="仿宋" w:eastAsia="仿宋"/>
          <w:color w:val="auto"/>
          <w:sz w:val="30"/>
          <w:szCs w:val="30"/>
        </w:rPr>
        <w:t>人民政府，</w:t>
      </w:r>
      <w:r>
        <w:rPr>
          <w:rFonts w:hint="eastAsia" w:ascii="仿宋" w:hAnsi="仿宋" w:eastAsia="仿宋"/>
          <w:color w:val="auto"/>
          <w:sz w:val="30"/>
          <w:szCs w:val="30"/>
          <w:lang w:val="en-US" w:eastAsia="zh-CN"/>
        </w:rPr>
        <w:t>县直有关</w:t>
      </w:r>
      <w:r>
        <w:rPr>
          <w:rFonts w:hint="eastAsia" w:ascii="仿宋" w:hAnsi="仿宋" w:eastAsia="仿宋"/>
          <w:color w:val="auto"/>
          <w:sz w:val="30"/>
          <w:szCs w:val="30"/>
        </w:rPr>
        <w:t>单位征求意见。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202</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年</w:t>
      </w:r>
      <w:r>
        <w:rPr>
          <w:rFonts w:hint="eastAsia" w:ascii="仿宋" w:hAnsi="仿宋" w:eastAsia="仿宋"/>
          <w:color w:val="auto"/>
          <w:sz w:val="30"/>
          <w:szCs w:val="30"/>
          <w:lang w:val="en-US" w:eastAsia="zh-CN"/>
        </w:rPr>
        <w:t>4</w:t>
      </w:r>
      <w:r>
        <w:rPr>
          <w:rFonts w:hint="eastAsia" w:ascii="仿宋" w:hAnsi="仿宋" w:eastAsia="仿宋"/>
          <w:color w:val="auto"/>
          <w:sz w:val="30"/>
          <w:szCs w:val="30"/>
        </w:rPr>
        <w:t>月，项目组根据</w:t>
      </w:r>
      <w:r>
        <w:rPr>
          <w:rFonts w:hint="eastAsia" w:ascii="仿宋" w:hAnsi="仿宋" w:eastAsia="仿宋"/>
          <w:color w:val="auto"/>
          <w:sz w:val="30"/>
          <w:szCs w:val="30"/>
          <w:lang w:val="en-US" w:eastAsia="zh-CN"/>
        </w:rPr>
        <w:t>上级</w:t>
      </w:r>
      <w:r>
        <w:rPr>
          <w:rFonts w:hint="eastAsia" w:ascii="仿宋" w:hAnsi="仿宋" w:eastAsia="仿宋"/>
          <w:color w:val="auto"/>
          <w:sz w:val="30"/>
          <w:szCs w:val="30"/>
        </w:rPr>
        <w:t>规划和相关工作实际</w:t>
      </w:r>
      <w:r>
        <w:rPr>
          <w:rFonts w:hint="eastAsia" w:ascii="仿宋" w:hAnsi="仿宋" w:eastAsia="仿宋"/>
          <w:color w:val="auto"/>
          <w:sz w:val="30"/>
          <w:szCs w:val="30"/>
          <w:lang w:val="en-US" w:eastAsia="zh-CN"/>
        </w:rPr>
        <w:t>及专家意见</w:t>
      </w:r>
      <w:r>
        <w:rPr>
          <w:rFonts w:hint="eastAsia" w:ascii="仿宋" w:hAnsi="仿宋" w:eastAsia="仿宋"/>
          <w:color w:val="auto"/>
          <w:sz w:val="30"/>
          <w:szCs w:val="30"/>
        </w:rPr>
        <w:t>，补充收集资料、数据，结合意见征集修改完善，形成</w:t>
      </w:r>
      <w:r>
        <w:rPr>
          <w:rFonts w:hint="eastAsia" w:ascii="仿宋" w:hAnsi="仿宋" w:eastAsia="仿宋"/>
          <w:color w:val="auto"/>
          <w:sz w:val="30"/>
          <w:szCs w:val="30"/>
          <w:lang w:val="en-US" w:eastAsia="zh-CN"/>
        </w:rPr>
        <w:t>终审</w:t>
      </w:r>
      <w:r>
        <w:rPr>
          <w:rFonts w:hint="eastAsia" w:ascii="仿宋" w:hAnsi="仿宋" w:eastAsia="仿宋"/>
          <w:color w:val="auto"/>
          <w:sz w:val="30"/>
          <w:szCs w:val="30"/>
        </w:rPr>
        <w:t>稿。</w:t>
      </w:r>
    </w:p>
    <w:p>
      <w:pPr>
        <w:keepNext w:val="0"/>
        <w:keepLines w:val="0"/>
        <w:pageBreakBefore w:val="0"/>
        <w:widowControl w:val="0"/>
        <w:numPr>
          <w:ilvl w:val="0"/>
          <w:numId w:val="1"/>
        </w:numPr>
        <w:kinsoku/>
        <w:wordWrap/>
        <w:overflowPunct/>
        <w:topLinePunct w:val="0"/>
        <w:autoSpaceDE/>
        <w:autoSpaceDN/>
        <w:bidi w:val="0"/>
        <w:adjustRightInd w:val="0"/>
        <w:snapToGrid w:val="0"/>
        <w:spacing w:line="520" w:lineRule="exact"/>
        <w:ind w:left="0" w:leftChars="0" w:firstLine="723" w:firstLineChars="200"/>
        <w:jc w:val="both"/>
        <w:textAlignment w:val="auto"/>
        <w:outlineLvl w:val="0"/>
        <w:rPr>
          <w:rFonts w:hint="eastAsia" w:ascii="Arial" w:hAnsi="Arial"/>
          <w:b/>
          <w:color w:val="auto"/>
          <w:kern w:val="44"/>
          <w:sz w:val="36"/>
          <w:szCs w:val="30"/>
        </w:rPr>
      </w:pPr>
      <w:bookmarkStart w:id="14" w:name="_Toc304269043"/>
      <w:bookmarkStart w:id="15" w:name="_Toc31925"/>
      <w:r>
        <w:rPr>
          <w:rFonts w:hint="eastAsia" w:ascii="Arial" w:hAnsi="Arial"/>
          <w:b/>
          <w:color w:val="auto"/>
          <w:kern w:val="44"/>
          <w:sz w:val="36"/>
          <w:szCs w:val="30"/>
        </w:rPr>
        <w:t>规划</w:t>
      </w:r>
      <w:bookmarkEnd w:id="14"/>
      <w:r>
        <w:rPr>
          <w:rFonts w:hint="eastAsia" w:ascii="Arial" w:hAnsi="Arial"/>
          <w:b/>
          <w:color w:val="auto"/>
          <w:kern w:val="44"/>
          <w:sz w:val="36"/>
          <w:szCs w:val="30"/>
        </w:rPr>
        <w:t>依据</w:t>
      </w:r>
      <w:bookmarkEnd w:id="15"/>
    </w:p>
    <w:p>
      <w:pPr>
        <w:pStyle w:val="6"/>
        <w:ind w:firstLine="643" w:firstLineChars="200"/>
        <w:rPr>
          <w:color w:val="auto"/>
        </w:rPr>
      </w:pPr>
      <w:bookmarkStart w:id="16" w:name="_Toc4861"/>
      <w:bookmarkStart w:id="17" w:name="_Toc304269044"/>
      <w:r>
        <w:rPr>
          <w:rFonts w:hint="eastAsia"/>
          <w:color w:val="auto"/>
        </w:rPr>
        <w:t>（一）法律法规</w:t>
      </w:r>
      <w:bookmarkEnd w:id="16"/>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《地质灾害防治条例》（国务院令第 394 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《安徽省地质灾害防治管理办法》（安徽省人民政府令第 116 号）</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《安徽省地质灾害易发区农村村民建房管理规定》(安徽省人民政府令第253号)</w:t>
      </w:r>
    </w:p>
    <w:p>
      <w:pPr>
        <w:pStyle w:val="6"/>
        <w:ind w:firstLine="643" w:firstLineChars="200"/>
        <w:rPr>
          <w:color w:val="auto"/>
        </w:rPr>
      </w:pPr>
      <w:bookmarkStart w:id="18" w:name="_Toc20942"/>
      <w:r>
        <w:rPr>
          <w:rFonts w:hint="eastAsia"/>
          <w:color w:val="auto"/>
        </w:rPr>
        <w:t>（二</w:t>
      </w:r>
      <w:r>
        <w:rPr>
          <w:color w:val="auto"/>
        </w:rPr>
        <w:t>）</w:t>
      </w:r>
      <w:r>
        <w:rPr>
          <w:rFonts w:hint="eastAsia"/>
          <w:color w:val="auto"/>
        </w:rPr>
        <w:t>相关文件</w:t>
      </w:r>
      <w:bookmarkEnd w:id="18"/>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《关于加强地质灾害防治工作的决定》（国发[2011]20 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《中共中央国务院关于加快推进生态文明建设的意见》(2015 年 4月 25 日)</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《关于加强地质灾害防治工作的意见》（皖政〔2012〕84 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《安徽省应急管理厅关于印发安徽省突发地质灾害应急预案的通知》（皖应急〔2021〕119号）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《安徽省人民政府办公厅关于认真做好第一次全国自然灾害综合风险普查的通知》（皖政办秘〔2020〕71号）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《地质灾害防治三年行动实施纲要》（自然资办发〔2020〕16 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《安徽省地质灾害防治行动实施方案》（皖地灾防指〔2020〕4号）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《安徽省市、县地质灾害防治规划编制细则（试行）》（皖国土资〔2004〕101号）</w:t>
      </w:r>
    </w:p>
    <w:p>
      <w:pPr>
        <w:pStyle w:val="6"/>
        <w:ind w:firstLine="643" w:firstLineChars="200"/>
        <w:rPr>
          <w:color w:val="auto"/>
        </w:rPr>
      </w:pPr>
      <w:bookmarkStart w:id="19" w:name="_Toc7755"/>
      <w:r>
        <w:rPr>
          <w:rFonts w:hint="eastAsia"/>
          <w:color w:val="auto"/>
        </w:rPr>
        <w:t>（三）相关规划</w:t>
      </w:r>
      <w:bookmarkEnd w:id="19"/>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《安徽省国民经济和社会发展第十四个五年规划纲要和2035远景目标纲要》（皖政〔20</w:t>
      </w:r>
      <w:r>
        <w:rPr>
          <w:rFonts w:ascii="仿宋" w:hAnsi="仿宋" w:eastAsia="仿宋"/>
          <w:color w:val="auto"/>
          <w:sz w:val="30"/>
          <w:szCs w:val="30"/>
        </w:rPr>
        <w:t>21</w:t>
      </w:r>
      <w:r>
        <w:rPr>
          <w:rFonts w:hint="eastAsia" w:ascii="仿宋" w:hAnsi="仿宋" w:eastAsia="仿宋"/>
          <w:color w:val="auto"/>
          <w:sz w:val="30"/>
          <w:szCs w:val="30"/>
        </w:rPr>
        <w:t>〕</w:t>
      </w:r>
      <w:r>
        <w:rPr>
          <w:rFonts w:ascii="仿宋" w:hAnsi="仿宋" w:eastAsia="仿宋"/>
          <w:color w:val="auto"/>
          <w:sz w:val="30"/>
          <w:szCs w:val="30"/>
        </w:rPr>
        <w:t>16</w:t>
      </w:r>
      <w:r>
        <w:rPr>
          <w:rFonts w:hint="eastAsia" w:ascii="仿宋" w:hAnsi="仿宋" w:eastAsia="仿宋"/>
          <w:color w:val="auto"/>
          <w:sz w:val="30"/>
          <w:szCs w:val="30"/>
        </w:rPr>
        <w:t>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《池州市国民经济和社会发展第十四个五年规划纲要和2035远景目标纲要》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《长江三角洲区域一体化发展规划纲要》</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《全国地质灾害防治“十四五”规划》（征求意见稿）</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《安徽省地质灾害防治“十四五”规划（2021-2025年）》（皖自然资〔2021〕156号）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highlight w:val="red"/>
        </w:rPr>
      </w:pPr>
      <w:r>
        <w:rPr>
          <w:rFonts w:hint="eastAsia" w:ascii="仿宋" w:hAnsi="仿宋" w:eastAsia="仿宋"/>
          <w:color w:val="auto"/>
          <w:sz w:val="30"/>
          <w:szCs w:val="30"/>
        </w:rPr>
        <w:t>《池州市地质灾害防治“十四五”规划（2021-2025 年）》</w:t>
      </w:r>
      <w:r>
        <w:rPr>
          <w:rFonts w:hint="eastAsia" w:ascii="仿宋" w:hAnsi="仿宋" w:eastAsia="仿宋"/>
          <w:color w:val="auto"/>
          <w:sz w:val="30"/>
          <w:szCs w:val="30"/>
          <w:highlight w:val="none"/>
        </w:rPr>
        <w:t>（</w:t>
      </w:r>
      <w:r>
        <w:rPr>
          <w:rFonts w:hint="eastAsia" w:ascii="仿宋" w:hAnsi="仿宋" w:eastAsia="仿宋"/>
          <w:color w:val="auto"/>
          <w:sz w:val="30"/>
          <w:szCs w:val="30"/>
          <w:highlight w:val="none"/>
          <w:lang w:val="en-US" w:eastAsia="zh-CN"/>
        </w:rPr>
        <w:t>池政办</w:t>
      </w:r>
      <w:r>
        <w:rPr>
          <w:rFonts w:hint="eastAsia" w:ascii="仿宋" w:hAnsi="仿宋" w:eastAsia="仿宋"/>
          <w:color w:val="auto"/>
          <w:sz w:val="30"/>
          <w:szCs w:val="30"/>
          <w:highlight w:val="none"/>
        </w:rPr>
        <w:t>〔202</w:t>
      </w:r>
      <w:r>
        <w:rPr>
          <w:rFonts w:hint="eastAsia" w:ascii="仿宋" w:hAnsi="仿宋" w:eastAsia="仿宋"/>
          <w:color w:val="auto"/>
          <w:sz w:val="30"/>
          <w:szCs w:val="30"/>
          <w:highlight w:val="none"/>
          <w:lang w:val="en-US" w:eastAsia="zh-CN"/>
        </w:rPr>
        <w:t>3</w:t>
      </w:r>
      <w:r>
        <w:rPr>
          <w:rFonts w:hint="eastAsia" w:ascii="仿宋" w:hAnsi="仿宋" w:eastAsia="仿宋"/>
          <w:color w:val="auto"/>
          <w:sz w:val="30"/>
          <w:szCs w:val="30"/>
          <w:highlight w:val="none"/>
        </w:rPr>
        <w:t>〕1号）</w:t>
      </w:r>
    </w:p>
    <w:p>
      <w:pPr>
        <w:adjustRightInd w:val="0"/>
        <w:snapToGrid w:val="0"/>
        <w:spacing w:line="360" w:lineRule="auto"/>
        <w:ind w:firstLine="600" w:firstLineChars="200"/>
        <w:rPr>
          <w:rFonts w:hint="eastAsia" w:ascii="仿宋" w:hAnsi="仿宋" w:eastAsia="仿宋"/>
          <w:color w:val="auto"/>
          <w:sz w:val="30"/>
          <w:szCs w:val="30"/>
        </w:rPr>
      </w:pPr>
      <w:r>
        <w:rPr>
          <w:rFonts w:hint="eastAsia" w:ascii="仿宋" w:hAnsi="仿宋" w:eastAsia="仿宋"/>
          <w:color w:val="auto"/>
          <w:sz w:val="30"/>
          <w:szCs w:val="30"/>
        </w:rPr>
        <w:t>《东至县地质灾害防治规划（2017-2022 年）》</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《东至县国民经济和社会发展第十四个五年规划纲要》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《东至县矿产资源总体规划（2021-2025 年）》。</w:t>
      </w:r>
    </w:p>
    <w:p>
      <w:pPr>
        <w:pStyle w:val="6"/>
        <w:ind w:firstLine="643" w:firstLineChars="200"/>
        <w:rPr>
          <w:color w:val="auto"/>
        </w:rPr>
      </w:pPr>
      <w:bookmarkStart w:id="20" w:name="_Toc13365"/>
      <w:r>
        <w:rPr>
          <w:rFonts w:hint="eastAsia"/>
          <w:color w:val="auto"/>
        </w:rPr>
        <w:t>（四）相关规范</w:t>
      </w:r>
      <w:bookmarkEnd w:id="20"/>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《地质灾害危险性评估规范》（GB/T40112-2021）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《滑坡崩塌泥石流调查规范（1：50000）》（DZ/T0261-2014）</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《滑坡防治工程设计与施工技术规范》（DZ/T0219-2006）</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《崩塌、滑坡、泥石流监测规范》（DZ/T0221-2006）</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《滑坡防治工程勘查规范》（DZ/T0218-2006）</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《县（市）地质灾害调查与区划规范（试行）》（T/CAGHP017-2018）</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《地质灾害分类分级标准（试行）》（T/CAGHP001-2018）</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泥</w:t>
      </w:r>
      <w:r>
        <w:rPr>
          <w:rFonts w:hint="eastAsia" w:ascii="仿宋" w:hAnsi="仿宋" w:eastAsia="仿宋"/>
          <w:color w:val="auto"/>
          <w:sz w:val="30"/>
          <w:szCs w:val="30"/>
        </w:rPr>
        <w:t>石流灾害防治工程勘查规范（试行）》（T/CAGHP006-2018）</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《采空塌陷勘查规范（试行）》（T/CAGHP005-2018）</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《采空塌陷防治工程设计规范（试行）》（T/CAGHP012-2018）</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《地面沉降监测技术要求》（DD2006-02）</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《地质灾害专群结合监测预警技术指南（试行）》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《1:50000 地质灾害调查信息化成果技术要求》</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《地质灾害风险调查评价成果信息化技术要求（试行）》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《地质灾害风险调查评价技术要求（1：50000）（试行）》</w:t>
      </w:r>
    </w:p>
    <w:p>
      <w:pPr>
        <w:pStyle w:val="6"/>
        <w:ind w:firstLine="643" w:firstLineChars="200"/>
        <w:rPr>
          <w:color w:val="auto"/>
        </w:rPr>
      </w:pPr>
      <w:bookmarkStart w:id="21" w:name="_Toc32197"/>
      <w:r>
        <w:rPr>
          <w:rFonts w:hint="eastAsia"/>
          <w:color w:val="auto"/>
        </w:rPr>
        <w:t>（五）相关资料</w:t>
      </w:r>
      <w:bookmarkEnd w:id="21"/>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东至县1:5万地质灾害详细调查报告、东至县2019 年地质灾害隐患全面深入排查成果报告成果资料及</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“十三五”期间汛前调查、汛后核查等调查成果报告；</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“十三五”期间气象预警报告；“十三五”期间</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地质灾害工程治理勘查设计类资料，搬迁避让资料等；“十三五”期间地质灾害防治方案、监测方案、宣传、培训、演练及各类文件等资料。</w:t>
      </w:r>
    </w:p>
    <w:bookmarkEnd w:id="17"/>
    <w:p>
      <w:pPr>
        <w:keepNext w:val="0"/>
        <w:keepLines w:val="0"/>
        <w:pageBreakBefore w:val="0"/>
        <w:widowControl w:val="0"/>
        <w:numPr>
          <w:ilvl w:val="0"/>
          <w:numId w:val="1"/>
        </w:numPr>
        <w:kinsoku/>
        <w:wordWrap/>
        <w:overflowPunct/>
        <w:topLinePunct w:val="0"/>
        <w:autoSpaceDE/>
        <w:autoSpaceDN/>
        <w:bidi w:val="0"/>
        <w:adjustRightInd w:val="0"/>
        <w:snapToGrid w:val="0"/>
        <w:spacing w:line="520" w:lineRule="exact"/>
        <w:ind w:left="0" w:leftChars="0" w:firstLine="723" w:firstLineChars="200"/>
        <w:jc w:val="both"/>
        <w:textAlignment w:val="auto"/>
        <w:outlineLvl w:val="0"/>
        <w:rPr>
          <w:rFonts w:hint="eastAsia" w:ascii="Arial" w:hAnsi="Arial"/>
          <w:b/>
          <w:color w:val="auto"/>
          <w:kern w:val="44"/>
          <w:sz w:val="36"/>
          <w:szCs w:val="30"/>
        </w:rPr>
      </w:pPr>
      <w:bookmarkStart w:id="22" w:name="_Toc18140"/>
      <w:bookmarkStart w:id="23" w:name="_Toc304269048"/>
      <w:r>
        <w:rPr>
          <w:rFonts w:hint="eastAsia" w:ascii="Arial" w:hAnsi="Arial"/>
          <w:b/>
          <w:color w:val="auto"/>
          <w:kern w:val="44"/>
          <w:sz w:val="36"/>
          <w:szCs w:val="30"/>
        </w:rPr>
        <w:t>规划背景</w:t>
      </w:r>
      <w:bookmarkEnd w:id="22"/>
      <w:bookmarkEnd w:id="23"/>
    </w:p>
    <w:p>
      <w:pPr>
        <w:pStyle w:val="6"/>
        <w:ind w:firstLine="643" w:firstLineChars="200"/>
        <w:rPr>
          <w:color w:val="auto"/>
        </w:rPr>
      </w:pPr>
      <w:bookmarkStart w:id="24" w:name="_Toc80882140"/>
      <w:bookmarkStart w:id="25" w:name="_Toc25397"/>
      <w:r>
        <w:rPr>
          <w:rFonts w:hint="eastAsia"/>
          <w:color w:val="auto"/>
        </w:rPr>
        <w:t>（一）</w:t>
      </w:r>
      <w:bookmarkEnd w:id="24"/>
      <w:r>
        <w:rPr>
          <w:rFonts w:hint="eastAsia"/>
          <w:color w:val="auto"/>
        </w:rPr>
        <w:t>自然地理条件概况</w:t>
      </w:r>
      <w:bookmarkEnd w:id="2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 自然地理</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池州市</w:t>
      </w:r>
      <w:r>
        <w:rPr>
          <w:rFonts w:hint="eastAsia" w:ascii="仿宋" w:hAnsi="仿宋" w:eastAsia="仿宋"/>
          <w:color w:val="auto"/>
          <w:sz w:val="30"/>
          <w:szCs w:val="30"/>
        </w:rPr>
        <w:t>地跨北纬29°34—30°30′，东经116°39—117°18′。东与贵池区、石台县、祁门县接壤，南及西南与江西省景德镇市和浮梁、鄱阳、彭泽县毗邻，西北与安庆市和东至、望江县隔江相望</w:t>
      </w:r>
      <w:r>
        <w:rPr>
          <w:rFonts w:ascii="仿宋" w:hAnsi="仿宋" w:eastAsia="仿宋"/>
          <w:color w:val="auto"/>
          <w:sz w:val="30"/>
          <w:szCs w:val="30"/>
        </w:rPr>
        <w:t>，面积</w:t>
      </w:r>
      <w:r>
        <w:rPr>
          <w:rFonts w:hint="eastAsia" w:ascii="仿宋" w:hAnsi="仿宋" w:eastAsia="仿宋"/>
          <w:color w:val="auto"/>
          <w:sz w:val="30"/>
          <w:szCs w:val="30"/>
        </w:rPr>
        <w:t>3250.03</w:t>
      </w:r>
      <w:r>
        <w:rPr>
          <w:rFonts w:ascii="仿宋" w:hAnsi="仿宋" w:eastAsia="仿宋"/>
          <w:color w:val="auto"/>
          <w:sz w:val="30"/>
          <w:szCs w:val="30"/>
        </w:rPr>
        <w:t>平方公里，</w:t>
      </w:r>
      <w:r>
        <w:rPr>
          <w:rFonts w:hint="eastAsia" w:ascii="仿宋" w:hAnsi="仿宋" w:eastAsia="仿宋"/>
          <w:color w:val="auto"/>
          <w:sz w:val="30"/>
          <w:szCs w:val="30"/>
        </w:rPr>
        <w:t>根据第七次人口普查数据，截至2020年11</w:t>
      </w:r>
      <w:r>
        <w:rPr>
          <w:rFonts w:hint="eastAsia" w:ascii="仿宋" w:hAnsi="仿宋" w:eastAsia="仿宋"/>
          <w:color w:val="auto"/>
          <w:sz w:val="30"/>
          <w:szCs w:val="30"/>
          <w:highlight w:val="none"/>
        </w:rPr>
        <w:t>月，</w:t>
      </w:r>
      <w:r>
        <w:rPr>
          <w:rFonts w:hint="eastAsia" w:ascii="仿宋" w:hAnsi="仿宋" w:eastAsia="仿宋"/>
          <w:color w:val="auto"/>
          <w:sz w:val="30"/>
          <w:szCs w:val="30"/>
          <w:highlight w:val="none"/>
          <w:lang w:val="en-US" w:eastAsia="zh-CN"/>
        </w:rPr>
        <w:t>东至县</w:t>
      </w:r>
      <w:r>
        <w:rPr>
          <w:rFonts w:hint="eastAsia" w:ascii="仿宋" w:hAnsi="仿宋" w:eastAsia="仿宋"/>
          <w:color w:val="auto"/>
          <w:sz w:val="30"/>
          <w:szCs w:val="30"/>
          <w:highlight w:val="none"/>
        </w:rPr>
        <w:t>常住人口为</w:t>
      </w:r>
      <w:r>
        <w:rPr>
          <w:rFonts w:hint="eastAsia" w:ascii="仿宋" w:hAnsi="仿宋" w:eastAsia="仿宋"/>
          <w:color w:val="auto"/>
          <w:sz w:val="30"/>
          <w:szCs w:val="30"/>
          <w:highlight w:val="none"/>
          <w:lang w:val="en-US" w:eastAsia="zh-CN"/>
        </w:rPr>
        <w:t>398414</w:t>
      </w:r>
      <w:r>
        <w:rPr>
          <w:rFonts w:hint="eastAsia" w:ascii="仿宋" w:hAnsi="仿宋" w:eastAsia="仿宋"/>
          <w:color w:val="auto"/>
          <w:sz w:val="30"/>
          <w:szCs w:val="30"/>
          <w:highlight w:val="none"/>
        </w:rPr>
        <w:t>人</w:t>
      </w:r>
      <w:r>
        <w:rPr>
          <w:rFonts w:ascii="仿宋" w:hAnsi="仿宋" w:eastAsia="仿宋"/>
          <w:color w:val="auto"/>
          <w:sz w:val="30"/>
          <w:szCs w:val="30"/>
          <w:highlight w:val="none"/>
        </w:rPr>
        <w:t>。</w:t>
      </w:r>
      <w:r>
        <w:rPr>
          <w:rFonts w:hint="eastAsia" w:ascii="仿宋" w:hAnsi="仿宋" w:eastAsia="仿宋"/>
          <w:color w:val="auto"/>
          <w:sz w:val="30"/>
          <w:szCs w:val="30"/>
          <w:highlight w:val="none"/>
        </w:rPr>
        <w:t>(</w:t>
      </w:r>
      <w:r>
        <w:rPr>
          <w:rFonts w:hint="eastAsia" w:ascii="仿宋" w:hAnsi="仿宋" w:eastAsia="仿宋"/>
          <w:color w:val="auto"/>
          <w:sz w:val="30"/>
          <w:szCs w:val="30"/>
        </w:rPr>
        <w:t>图3-1)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东至县区位明显，交通便利。长江黄金水道流经县内85km，拥有香口、东流、大渡口3个港口；境内纵贯南北的安景高速、国道G206和横穿东西的国道G318与安庆长江大桥相连，4条省道纵横交错，构成四通八达的交通网络。东至已建成通车的沿江高速、安景高速和铜九铁路穿越全境，加上望东长江大桥、东九高速公路，东至日益成为皖南的交通枢纽，沿江达海，承东接西，具有较明显的区位优势。</w:t>
      </w:r>
    </w:p>
    <w:p>
      <w:pPr>
        <w:adjustRightInd w:val="0"/>
        <w:snapToGrid w:val="0"/>
        <w:spacing w:line="360" w:lineRule="auto"/>
        <w:ind w:firstLine="420" w:firstLineChars="200"/>
        <w:rPr>
          <w:rFonts w:ascii="宋体" w:hAnsi="宋体"/>
          <w:color w:val="auto"/>
          <w:spacing w:val="-4"/>
          <w:sz w:val="28"/>
          <w:szCs w:val="28"/>
        </w:rPr>
      </w:pPr>
      <w:r>
        <w:rPr>
          <w:rFonts w:eastAsia="宋体"/>
          <w:color w:val="auto"/>
        </w:rPr>
        <w:drawing>
          <wp:inline distT="0" distB="0" distL="114300" distR="114300">
            <wp:extent cx="5243830" cy="6120130"/>
            <wp:effectExtent l="0" t="0" r="13970" b="13970"/>
            <wp:docPr id="100" name="图片 1" descr="交通图.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 descr="交通图.JPG"/>
                    <pic:cNvPicPr>
                      <a:picLocks noChangeAspect="1"/>
                    </pic:cNvPicPr>
                  </pic:nvPicPr>
                  <pic:blipFill>
                    <a:blip r:embed="rId16"/>
                    <a:stretch>
                      <a:fillRect/>
                    </a:stretch>
                  </pic:blipFill>
                  <pic:spPr>
                    <a:xfrm>
                      <a:off x="0" y="0"/>
                      <a:ext cx="5243830" cy="6120130"/>
                    </a:xfrm>
                    <a:prstGeom prst="rect">
                      <a:avLst/>
                    </a:prstGeom>
                    <a:noFill/>
                    <a:ln>
                      <a:noFill/>
                    </a:ln>
                  </pic:spPr>
                </pic:pic>
              </a:graphicData>
            </a:graphic>
          </wp:inline>
        </w:drawing>
      </w:r>
    </w:p>
    <w:p>
      <w:pPr>
        <w:adjustRightInd w:val="0"/>
        <w:snapToGrid w:val="0"/>
        <w:spacing w:before="120" w:beforeLines="50" w:line="360" w:lineRule="auto"/>
        <w:jc w:val="center"/>
        <w:rPr>
          <w:rFonts w:hint="eastAsia" w:ascii="仿宋" w:hAnsi="仿宋" w:eastAsia="仿宋"/>
          <w:b w:val="0"/>
          <w:bCs/>
          <w:color w:val="auto"/>
          <w:sz w:val="28"/>
          <w:szCs w:val="28"/>
        </w:rPr>
      </w:pPr>
      <w:r>
        <w:rPr>
          <w:rFonts w:hint="eastAsia" w:ascii="仿宋" w:hAnsi="仿宋" w:eastAsia="仿宋"/>
          <w:b w:val="0"/>
          <w:bCs/>
          <w:color w:val="auto"/>
          <w:sz w:val="28"/>
          <w:szCs w:val="28"/>
        </w:rPr>
        <w:t>图3-1  交通位置图</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2.气象水文</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东至县地处长江中下游南岸，属亚热带湿润季风气候区。气候温和湿润，光照充足，无霜期长，雨量充沛，季风明显。</w:t>
      </w:r>
    </w:p>
    <w:p>
      <w:pPr>
        <w:adjustRightInd w:val="0"/>
        <w:snapToGrid w:val="0"/>
        <w:spacing w:line="360" w:lineRule="auto"/>
        <w:ind w:firstLine="600" w:firstLineChars="200"/>
        <w:rPr>
          <w:rFonts w:hint="eastAsia" w:ascii="仿宋" w:hAnsi="仿宋" w:eastAsia="仿宋"/>
          <w:color w:val="auto"/>
          <w:sz w:val="30"/>
          <w:szCs w:val="30"/>
        </w:rPr>
      </w:pPr>
      <w:r>
        <w:rPr>
          <w:rFonts w:hint="eastAsia" w:ascii="仿宋" w:hAnsi="仿宋" w:eastAsia="仿宋"/>
          <w:color w:val="auto"/>
          <w:sz w:val="30"/>
          <w:szCs w:val="30"/>
        </w:rPr>
        <w:t>区内属亚热带湿润季风气候区，雨量充沛，日照充足，湿度较大，无霜期长。根据《安徽省东至县1:5万地质灾害调查报告》总结的降水量资料（1951～2013年），多年平均降水量1601mm；本次收集气象部门资料（2009～2020年），多年平均降水量1725.30mm；通过对比发现，近10年多年平均降水量较1951-2013年统计的多年平均降水量有所增加。</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 xml:space="preserve">全年降水多集中在5～9月，多年平均降水量为924mm，占全年降水的59.1% 。10年一遇最大24h暴雨量190mm, 20年一遇最大24h暴雨量225mm。根据资料统计，本地区多年平均气温16.0℃，多年月平均最高气温为8月份的36.8℃，多年月平均最低气温为1月份的-3.3℃，极端最高气温为40.5℃，极端最低气温为-14.3℃。多年平均霜期约3～4个月，初霜期出现在11月上旬，终霜期出现在3月上旬，全年无霜期约240～250天。多年平均风速2.1m/s，最大风速超过20m/s。区内气象要素特征见图 </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w:t>
      </w:r>
    </w:p>
    <w:p>
      <w:pPr>
        <w:adjustRightInd w:val="0"/>
        <w:snapToGrid w:val="0"/>
        <w:spacing w:line="360" w:lineRule="auto"/>
        <w:ind w:firstLine="440" w:firstLineChars="200"/>
        <w:rPr>
          <w:rFonts w:ascii="宋体" w:hAnsi="宋体" w:cs="宋体"/>
          <w:color w:val="auto"/>
          <w:kern w:val="0"/>
          <w:sz w:val="22"/>
        </w:rPr>
      </w:pPr>
      <w:r>
        <w:rPr>
          <w:rFonts w:ascii="宋体" w:hAnsi="宋体" w:cs="宋体"/>
          <w:color w:val="auto"/>
          <w:kern w:val="0"/>
          <w:sz w:val="22"/>
        </w:rPr>
        <w:drawing>
          <wp:inline distT="0" distB="0" distL="114300" distR="114300">
            <wp:extent cx="4116070" cy="1766570"/>
            <wp:effectExtent l="0" t="0" r="17780" b="5080"/>
            <wp:docPr id="10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3"/>
                    <pic:cNvPicPr>
                      <a:picLocks noChangeAspect="1"/>
                    </pic:cNvPicPr>
                  </pic:nvPicPr>
                  <pic:blipFill>
                    <a:blip r:embed="rId17"/>
                    <a:stretch>
                      <a:fillRect/>
                    </a:stretch>
                  </pic:blipFill>
                  <pic:spPr>
                    <a:xfrm>
                      <a:off x="0" y="0"/>
                      <a:ext cx="4116070" cy="1766570"/>
                    </a:xfrm>
                    <a:prstGeom prst="rect">
                      <a:avLst/>
                    </a:prstGeom>
                    <a:noFill/>
                    <a:ln>
                      <a:noFill/>
                    </a:ln>
                  </pic:spPr>
                </pic:pic>
              </a:graphicData>
            </a:graphic>
          </wp:inline>
        </w:drawing>
      </w:r>
    </w:p>
    <w:p>
      <w:pPr>
        <w:adjustRightInd w:val="0"/>
        <w:snapToGrid w:val="0"/>
        <w:spacing w:before="120" w:beforeLines="50" w:line="360" w:lineRule="auto"/>
        <w:jc w:val="center"/>
        <w:rPr>
          <w:rFonts w:hint="eastAsia" w:ascii="仿宋" w:hAnsi="仿宋" w:eastAsia="仿宋"/>
          <w:b w:val="0"/>
          <w:bCs/>
          <w:color w:val="auto"/>
          <w:sz w:val="28"/>
          <w:szCs w:val="28"/>
        </w:rPr>
      </w:pPr>
      <w:r>
        <w:rPr>
          <w:rFonts w:hint="eastAsia" w:ascii="仿宋" w:hAnsi="仿宋" w:eastAsia="仿宋"/>
          <w:b w:val="0"/>
          <w:bCs/>
          <w:color w:val="auto"/>
          <w:sz w:val="28"/>
          <w:szCs w:val="28"/>
        </w:rPr>
        <w:t xml:space="preserve">图 </w:t>
      </w:r>
      <w:r>
        <w:rPr>
          <w:rFonts w:hint="eastAsia" w:ascii="仿宋" w:hAnsi="仿宋" w:eastAsia="仿宋"/>
          <w:b w:val="0"/>
          <w:bCs/>
          <w:color w:val="auto"/>
          <w:sz w:val="28"/>
          <w:szCs w:val="28"/>
          <w:lang w:val="en-US" w:eastAsia="zh-CN"/>
        </w:rPr>
        <w:t>3</w:t>
      </w:r>
      <w:r>
        <w:rPr>
          <w:rFonts w:hint="eastAsia" w:ascii="仿宋" w:hAnsi="仿宋" w:eastAsia="仿宋"/>
          <w:b w:val="0"/>
          <w:bCs/>
          <w:color w:val="auto"/>
          <w:sz w:val="28"/>
          <w:szCs w:val="28"/>
        </w:rPr>
        <w:t>-</w:t>
      </w:r>
      <w:r>
        <w:rPr>
          <w:rFonts w:hint="eastAsia" w:ascii="仿宋" w:hAnsi="仿宋" w:eastAsia="仿宋"/>
          <w:b w:val="0"/>
          <w:bCs/>
          <w:color w:val="auto"/>
          <w:sz w:val="28"/>
          <w:szCs w:val="28"/>
          <w:lang w:val="en-US" w:eastAsia="zh-CN"/>
        </w:rPr>
        <w:t>2  东至县</w:t>
      </w:r>
      <w:r>
        <w:rPr>
          <w:rFonts w:hint="eastAsia" w:ascii="仿宋" w:hAnsi="仿宋" w:eastAsia="仿宋"/>
          <w:b w:val="0"/>
          <w:bCs/>
          <w:color w:val="auto"/>
          <w:sz w:val="28"/>
          <w:szCs w:val="28"/>
        </w:rPr>
        <w:t>气象要素特征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3.地形地貌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bookmarkStart w:id="26" w:name="_Toc263923342"/>
      <w:bookmarkStart w:id="27" w:name="_Toc263922933"/>
      <w:bookmarkStart w:id="28" w:name="_Toc123268787"/>
      <w:bookmarkStart w:id="29" w:name="_Toc119921755"/>
      <w:bookmarkStart w:id="30" w:name="_Toc119982581"/>
      <w:r>
        <w:rPr>
          <w:rFonts w:hint="eastAsia" w:ascii="仿宋" w:hAnsi="仿宋" w:eastAsia="仿宋"/>
          <w:color w:val="auto"/>
          <w:sz w:val="30"/>
          <w:szCs w:val="30"/>
        </w:rPr>
        <w:t>东至县处于沿江丘陵平原及皖南山地交叉地带，按地貌形态将全区划分为平原、丘陵、山地三大类型（图</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（1）平原（Ⅰ）</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为第四纪全新世和更新世冲积、坡积和洪积物组成，主要分布在长江及其支流两侧地带。据其沉积物特征，将其分为两个亚类：</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1）河谷平原（Ⅰ1）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地面标高＜20m，面积657.75 km2，占全县面积的20.24%。主要沿长江及其支流两岸展布，基本各乡镇都有零星分布，尤其以大渡口镇分布最广。地形较平坦，稍有起伏，由第四纪全新世冲积物组成。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2）波状平原（Ⅰ2）</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地面标高20～50m，面积484.12km2，占全县面积的14.90%。主要展布于沿江阶地地带，涉及乡镇包括胜利镇、张溪镇、香隅镇、张溪镇、尧渡镇、龙泉镇等，地形较平坦，稍有起伏，由第四纪更新世坡积、冲洪积物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）丘陵（Ⅱ）</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县内丘陵地貌地面标高50～500m，主要分布于县城中北部及西南部，面积1383.2km2，占全县面积的42.56%。其山丘多不连续，山间谷地较为开阔；丘顶多呈圆顶、平顶；丘坡平缓，坡度一般小于25°；水系呈树枝状，沟谷呈“U”型谷；组成的物质包括新生代、中生代、古生代碎屑岩、碳酸盐岩及晚元古代、中元古代变质岩等。按相对高差，地貌形态可分为低丘、中丘及高丘。</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1）低丘（Ⅱ1）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标高50～200m，全县仅青山乡、官港镇、香隅镇、东流镇、尧渡镇、张溪镇等乡镇零星分布，面积1241.28km2，占全县面积的38.19%。丘顶多呈圆顶、平顶；丘坡平缓，坡度一般5～15°；主要由新生代第三纪到古生代志留纪碎屑岩、碳酸盐岩等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2）中丘（Ⅱ2）</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标高200～350m，分布于张溪镇、青山乡、龙泉镇、昭潭镇、泥溪镇、官港镇、木塔乡、花园乡、洋湖镇、尧渡镇等乡镇，面积569.81km2，占全县面积的17.53%。呈弧丘和条带状谷地相间地形，丘顶多呈圆顶、平顶；丘坡平缓，坡度一般10～25°；水系呈树枝状，沟谷呈“U”型谷；主要由古生代奥陶纪到中元古代溪口群碳酸盐岩、碎屑岩及变质岩等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3）高丘（Ⅱ3）</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标高350～500m，呈条带状展布在中低丘外围，主要分布于青山乡、昭潭镇、泥溪镇、木塔乡、尧渡镇、花园乡、张溪镇、葛公镇等乡镇，面积204.00 km</w:t>
      </w:r>
      <w:r>
        <w:rPr>
          <w:rFonts w:hint="eastAsia" w:ascii="仿宋" w:hAnsi="仿宋" w:eastAsia="仿宋"/>
          <w:color w:val="auto"/>
          <w:sz w:val="30"/>
          <w:szCs w:val="30"/>
          <w:vertAlign w:val="superscript"/>
        </w:rPr>
        <w:t>2</w:t>
      </w:r>
      <w:r>
        <w:rPr>
          <w:rFonts w:hint="eastAsia" w:ascii="仿宋" w:hAnsi="仿宋" w:eastAsia="仿宋"/>
          <w:color w:val="auto"/>
          <w:sz w:val="30"/>
          <w:szCs w:val="30"/>
        </w:rPr>
        <w:t>，占全县面积的6.28%。丘顶多呈圆顶、平顶；丘坡平缓，坡度一般15～40°；水系呈树枝状，沟谷呈“U”型谷；主要由古生代志留纪碎屑岩、寒武纪碳酸盐岩及晚元古代、中元古代变质岩等组成。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）山地（Ⅲ）</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1）低山（Ⅲ1）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标高500～1000m，局部在1000m以上，主要分布于木塔乡、泥溪镇、官港镇、香隅镇、尧渡镇、葛公镇、洋湖镇等乡镇的部分或大部分地区，面积89.29 km</w:t>
      </w:r>
      <w:r>
        <w:rPr>
          <w:rFonts w:hint="eastAsia" w:ascii="仿宋" w:hAnsi="仿宋" w:eastAsia="仿宋"/>
          <w:color w:val="auto"/>
          <w:sz w:val="30"/>
          <w:szCs w:val="30"/>
          <w:vertAlign w:val="superscript"/>
        </w:rPr>
        <w:t>2</w:t>
      </w:r>
      <w:r>
        <w:rPr>
          <w:rFonts w:hint="eastAsia" w:ascii="仿宋" w:hAnsi="仿宋" w:eastAsia="仿宋"/>
          <w:color w:val="auto"/>
          <w:sz w:val="30"/>
          <w:szCs w:val="30"/>
        </w:rPr>
        <w:t>，占全县面积的2.75%。相对高差多为200～300m，坡度一般20～50°，山岳峰峦迭嶂，陡峭挺拔，山体多连续，山顶较圆滑，山间谷地或冲沟较狭窄，多呈U型或V型。组成物质主要为古生代志留纪碎屑岩、寒武纪碳酸盐岩及晚元古代、中元古代变质岩等组成。</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2）中山（Ⅲ2）</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标高1000～1375.7m，分布于葛公镇、洋湖镇东部，面积3.77 km</w:t>
      </w:r>
      <w:r>
        <w:rPr>
          <w:rFonts w:hint="eastAsia" w:ascii="仿宋" w:hAnsi="仿宋" w:eastAsia="仿宋"/>
          <w:color w:val="auto"/>
          <w:sz w:val="30"/>
          <w:szCs w:val="30"/>
          <w:vertAlign w:val="superscript"/>
        </w:rPr>
        <w:t>2</w:t>
      </w:r>
      <w:r>
        <w:rPr>
          <w:rFonts w:hint="eastAsia" w:ascii="仿宋" w:hAnsi="仿宋" w:eastAsia="仿宋"/>
          <w:color w:val="auto"/>
          <w:sz w:val="30"/>
          <w:szCs w:val="30"/>
        </w:rPr>
        <w:t>，占全县面积的3.77%，最高峰仙寓山，海拔1375.7m。相对高差400～700m，山体陡峻，山顶呈尖或尖圆形，坡度一般30～60°；组成物质为晚元古代震旦纪及中元古代溪口群碎屑岩、变质岩等。</w:t>
      </w: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ascii="仿宋" w:hAnsi="仿宋" w:eastAsia="仿宋"/>
          <w:color w:val="auto"/>
          <w:sz w:val="30"/>
          <w:szCs w:val="30"/>
        </w:rPr>
      </w:pP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ascii="仿宋" w:hAnsi="仿宋" w:eastAsia="仿宋"/>
          <w:color w:val="auto"/>
          <w:sz w:val="30"/>
          <w:szCs w:val="30"/>
        </w:rPr>
        <w:sectPr>
          <w:footerReference r:id="rId12"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p>
    <w:p>
      <w:pPr>
        <w:pStyle w:val="2"/>
        <w:rPr>
          <w:rFonts w:hint="eastAsia"/>
        </w:rPr>
      </w:pPr>
      <w:r>
        <w:rPr>
          <w:rFonts w:hint="eastAsia" w:eastAsia="华文仿宋"/>
          <w:color w:val="auto"/>
          <w:lang w:eastAsia="zh-CN"/>
        </w:rPr>
        <w:drawing>
          <wp:anchor distT="0" distB="0" distL="114300" distR="114300" simplePos="0" relativeHeight="251666432" behindDoc="0" locked="0" layoutInCell="1" allowOverlap="1">
            <wp:simplePos x="0" y="0"/>
            <wp:positionH relativeFrom="column">
              <wp:posOffset>635</wp:posOffset>
            </wp:positionH>
            <wp:positionV relativeFrom="paragraph">
              <wp:posOffset>-193675</wp:posOffset>
            </wp:positionV>
            <wp:extent cx="8227060" cy="12812395"/>
            <wp:effectExtent l="0" t="0" r="2540" b="8255"/>
            <wp:wrapNone/>
            <wp:docPr id="104" name="图片 5" descr="地貌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5" descr="地貌图"/>
                    <pic:cNvPicPr>
                      <a:picLocks noChangeAspect="1"/>
                    </pic:cNvPicPr>
                  </pic:nvPicPr>
                  <pic:blipFill>
                    <a:blip r:embed="rId18"/>
                    <a:srcRect l="2414" t="6410" r="3009" b="1538"/>
                    <a:stretch>
                      <a:fillRect/>
                    </a:stretch>
                  </pic:blipFill>
                  <pic:spPr>
                    <a:xfrm>
                      <a:off x="0" y="0"/>
                      <a:ext cx="8227060" cy="12812395"/>
                    </a:xfrm>
                    <a:prstGeom prst="rect">
                      <a:avLst/>
                    </a:prstGeom>
                    <a:noFill/>
                    <a:ln>
                      <a:noFill/>
                    </a:ln>
                  </pic:spPr>
                </pic:pic>
              </a:graphicData>
            </a:graphic>
          </wp:anchor>
        </w:drawing>
      </w: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ascii="仿宋" w:hAnsi="仿宋" w:eastAsia="仿宋"/>
          <w:color w:val="auto"/>
          <w:sz w:val="30"/>
          <w:szCs w:val="30"/>
        </w:rPr>
      </w:pP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pPr>
    </w:p>
    <w:p>
      <w:pPr>
        <w:adjustRightInd w:val="0"/>
        <w:snapToGrid w:val="0"/>
        <w:spacing w:before="120" w:beforeLines="50" w:line="360" w:lineRule="auto"/>
        <w:jc w:val="center"/>
        <w:rPr>
          <w:rFonts w:hint="eastAsia" w:ascii="仿宋" w:hAnsi="仿宋" w:eastAsia="仿宋"/>
          <w:b w:val="0"/>
          <w:bCs/>
          <w:color w:val="auto"/>
          <w:sz w:val="28"/>
          <w:szCs w:val="28"/>
        </w:rPr>
        <w:sectPr>
          <w:pgSz w:w="16783" w:h="23757"/>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b w:val="0"/>
          <w:bCs/>
          <w:color w:val="auto"/>
          <w:sz w:val="28"/>
          <w:szCs w:val="28"/>
        </w:rPr>
        <w:t>图</w:t>
      </w:r>
      <w:r>
        <w:rPr>
          <w:rFonts w:hint="eastAsia" w:ascii="仿宋" w:hAnsi="仿宋" w:eastAsia="仿宋"/>
          <w:b w:val="0"/>
          <w:bCs/>
          <w:color w:val="auto"/>
          <w:sz w:val="28"/>
          <w:szCs w:val="28"/>
          <w:lang w:val="en-US" w:eastAsia="zh-CN"/>
        </w:rPr>
        <w:t>3</w:t>
      </w:r>
      <w:r>
        <w:rPr>
          <w:rFonts w:hint="eastAsia" w:ascii="仿宋" w:hAnsi="仿宋" w:eastAsia="仿宋"/>
          <w:b w:val="0"/>
          <w:bCs/>
          <w:color w:val="auto"/>
          <w:sz w:val="28"/>
          <w:szCs w:val="28"/>
        </w:rPr>
        <w:t>-</w:t>
      </w:r>
      <w:r>
        <w:rPr>
          <w:rFonts w:hint="eastAsia" w:ascii="仿宋" w:hAnsi="仿宋" w:eastAsia="仿宋"/>
          <w:b w:val="0"/>
          <w:bCs/>
          <w:color w:val="auto"/>
          <w:sz w:val="28"/>
          <w:szCs w:val="28"/>
          <w:lang w:val="en-US" w:eastAsia="zh-CN"/>
        </w:rPr>
        <w:t>3</w:t>
      </w:r>
      <w:r>
        <w:rPr>
          <w:rFonts w:hint="eastAsia" w:ascii="仿宋" w:hAnsi="仿宋" w:eastAsia="仿宋"/>
          <w:b w:val="0"/>
          <w:bCs/>
          <w:color w:val="auto"/>
          <w:sz w:val="28"/>
          <w:szCs w:val="28"/>
        </w:rPr>
        <w:t xml:space="preserve">  东至县地貌图</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w:t>
      </w:r>
      <w:r>
        <w:rPr>
          <w:rFonts w:hint="eastAsia" w:ascii="仿宋" w:hAnsi="仿宋" w:eastAsia="仿宋"/>
          <w:color w:val="auto"/>
          <w:sz w:val="30"/>
          <w:szCs w:val="30"/>
          <w:lang w:val="en-US" w:eastAsia="zh-CN"/>
        </w:rPr>
        <w:t>4</w:t>
      </w:r>
      <w:r>
        <w:rPr>
          <w:rFonts w:hint="eastAsia" w:ascii="仿宋" w:hAnsi="仿宋" w:eastAsia="仿宋"/>
          <w:color w:val="auto"/>
          <w:sz w:val="30"/>
          <w:szCs w:val="30"/>
        </w:rPr>
        <w:t>）地层构造</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1）地层</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县内地层隶属华南地层大区扬子地层区下扬子地层分区和江南地层分区，地层发育较齐全，除上太古代、中生代侏罗纪及新生代早第三纪地层缺失外，从中元古代至新生代第四纪的地层均有出露</w:t>
      </w:r>
      <w:r>
        <w:rPr>
          <w:rFonts w:hint="eastAsia" w:ascii="仿宋" w:hAnsi="仿宋" w:eastAsia="仿宋"/>
          <w:color w:val="auto"/>
          <w:sz w:val="30"/>
          <w:szCs w:val="30"/>
        </w:rPr>
        <w:t>（表3-1、表3-</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、图3-4）。</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中元古代溪口群地层广泛分布于尧渡镇、葛公镇、香隅镇以南的大部分</w:t>
      </w:r>
      <w:r>
        <w:rPr>
          <w:rFonts w:hint="eastAsia" w:ascii="仿宋" w:hAnsi="仿宋" w:eastAsia="仿宋"/>
          <w:color w:val="auto"/>
          <w:sz w:val="30"/>
          <w:szCs w:val="30"/>
        </w:rPr>
        <w:t>地区</w:t>
      </w:r>
      <w:r>
        <w:rPr>
          <w:rFonts w:hint="eastAsia" w:ascii="仿宋" w:hAnsi="仿宋" w:eastAsia="仿宋" w:cs="仿宋"/>
          <w:color w:val="auto"/>
          <w:sz w:val="30"/>
          <w:szCs w:val="30"/>
        </w:rPr>
        <w:t>，包括牛屋组（Pt</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n）、环沙组（Pt</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h）地层，岩性为千枚状砂岩、千枚岩、粉砂岩、泥岩等。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晚元古代</w:t>
      </w:r>
      <w:r>
        <w:rPr>
          <w:rFonts w:hint="eastAsia" w:ascii="仿宋" w:hAnsi="仿宋" w:eastAsia="仿宋"/>
          <w:color w:val="auto"/>
          <w:sz w:val="30"/>
          <w:szCs w:val="30"/>
        </w:rPr>
        <w:t>震旦纪</w:t>
      </w:r>
      <w:r>
        <w:rPr>
          <w:rFonts w:hint="eastAsia" w:ascii="仿宋" w:hAnsi="仿宋" w:eastAsia="仿宋" w:cs="仿宋"/>
          <w:color w:val="auto"/>
          <w:sz w:val="30"/>
          <w:szCs w:val="30"/>
        </w:rPr>
        <w:t>、青白口纪地层分布于青山乡、昭潭镇、泥溪镇、香隅镇、尧渡镇、葛公镇等地，尤以葛公镇组（Qng）、休宁组（Z</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x）最为广泛，其次为皮园村组（Z</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w:t>
      </w:r>
      <w:r>
        <w:rPr>
          <w:rFonts w:hint="eastAsia" w:ascii="仿宋" w:hAnsi="仿宋" w:eastAsia="仿宋" w:cs="仿宋"/>
          <w:color w:val="auto"/>
          <w:sz w:val="30"/>
          <w:szCs w:val="30"/>
          <w:vertAlign w:val="superscript"/>
        </w:rPr>
        <w:t>1</w:t>
      </w:r>
      <w:r>
        <w:rPr>
          <w:rFonts w:hint="eastAsia" w:ascii="仿宋" w:hAnsi="仿宋" w:eastAsia="仿宋" w:cs="仿宋"/>
          <w:color w:val="auto"/>
          <w:sz w:val="30"/>
          <w:szCs w:val="30"/>
        </w:rPr>
        <w:t>p）、蓝田组（Z</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l）南沱组（Z</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n）、雷公坞组（Z</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l）、铺岭组（Qnp）、邓家组(Qnd)、小安里组(Qnx)，岩性为白云岩、泥岩、灰岩、硅质岩等。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晚古生代寒武纪地层分布于胡村、仙寓山村、孝义村、兰潭村、龙丰村等地，青坑组（∈</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q）、西阳山组（∈</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x）、华严寺组（∈</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h）、团山组（∈</w:t>
      </w:r>
      <w:r>
        <w:rPr>
          <w:rFonts w:hint="eastAsia" w:ascii="仿宋" w:hAnsi="仿宋" w:eastAsia="仿宋" w:cs="仿宋"/>
          <w:color w:val="auto"/>
          <w:sz w:val="30"/>
          <w:szCs w:val="30"/>
          <w:vertAlign w:val="subscript"/>
        </w:rPr>
        <w:t>2-3</w:t>
      </w:r>
      <w:r>
        <w:rPr>
          <w:rFonts w:hint="eastAsia" w:ascii="仿宋" w:hAnsi="仿宋" w:eastAsia="仿宋" w:cs="仿宋"/>
          <w:color w:val="auto"/>
          <w:sz w:val="30"/>
          <w:szCs w:val="30"/>
        </w:rPr>
        <w:t>t）、杨柳岗组（∈</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y）、荷塘组和大陈岭组（∈</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ht-d）、黄柏岭组（∈</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hn）零散分布，岩性为页岩、灰岩、白云岩、鲕状灰岩等。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晚古生代</w:t>
      </w:r>
      <w:r>
        <w:rPr>
          <w:rFonts w:hint="eastAsia" w:ascii="仿宋" w:hAnsi="仿宋" w:eastAsia="仿宋"/>
          <w:color w:val="auto"/>
          <w:sz w:val="30"/>
          <w:szCs w:val="30"/>
        </w:rPr>
        <w:t>奥陶纪</w:t>
      </w:r>
      <w:r>
        <w:rPr>
          <w:rFonts w:hint="eastAsia" w:ascii="仿宋" w:hAnsi="仿宋" w:eastAsia="仿宋" w:cs="仿宋"/>
          <w:color w:val="auto"/>
          <w:sz w:val="30"/>
          <w:szCs w:val="30"/>
        </w:rPr>
        <w:t>地层分布于同心村、管山村、建东村、八音村、北山村、大源村、天井村等地，五峰组（O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w）、汤头组（O</w:t>
      </w:r>
      <w:r>
        <w:rPr>
          <w:rFonts w:hint="eastAsia" w:ascii="仿宋" w:hAnsi="仿宋" w:eastAsia="仿宋" w:cs="仿宋"/>
          <w:color w:val="auto"/>
          <w:sz w:val="30"/>
          <w:szCs w:val="30"/>
          <w:vertAlign w:val="subscript"/>
        </w:rPr>
        <w:t>2-3</w:t>
      </w:r>
      <w:r>
        <w:rPr>
          <w:rFonts w:hint="eastAsia" w:ascii="仿宋" w:hAnsi="仿宋" w:eastAsia="仿宋" w:cs="仿宋"/>
          <w:color w:val="auto"/>
          <w:sz w:val="30"/>
          <w:szCs w:val="30"/>
        </w:rPr>
        <w:t>t）、宝塔组-大田坝组（O</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b-d）、牯牛潭组-紫台组-红花园组（O</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g-z-h）、仑山组（∈</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O</w:t>
      </w:r>
      <w:r>
        <w:rPr>
          <w:rFonts w:hint="eastAsia" w:ascii="仿宋" w:hAnsi="仿宋" w:eastAsia="仿宋" w:cs="仿宋"/>
          <w:color w:val="auto"/>
          <w:sz w:val="30"/>
          <w:szCs w:val="30"/>
          <w:vertAlign w:val="superscript"/>
        </w:rPr>
        <w:t>1</w:t>
      </w:r>
      <w:r>
        <w:rPr>
          <w:rFonts w:hint="eastAsia" w:ascii="仿宋" w:hAnsi="仿宋" w:eastAsia="仿宋" w:cs="仿宋"/>
          <w:color w:val="auto"/>
          <w:sz w:val="30"/>
          <w:szCs w:val="30"/>
        </w:rPr>
        <w:t>l）零散出露，岩性为灰岩、泥岩、砂岩等。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晚古生代泥盆纪、志留纪地层分布于区内香隅镇、东流镇、张溪镇、洋湖镇，五通组（D</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C1w）、茅山组（S</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m）、坟头组（S</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f）、高家边组（S</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g）零散出露，岩性为灰岩、砂岩、泥岩等。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晚古生代</w:t>
      </w:r>
      <w:r>
        <w:rPr>
          <w:rFonts w:hint="eastAsia" w:ascii="仿宋" w:hAnsi="仿宋" w:eastAsia="仿宋"/>
          <w:color w:val="auto"/>
          <w:sz w:val="30"/>
          <w:szCs w:val="30"/>
        </w:rPr>
        <w:t>石炭纪</w:t>
      </w:r>
      <w:r>
        <w:rPr>
          <w:rFonts w:hint="eastAsia" w:ascii="仿宋" w:hAnsi="仿宋" w:eastAsia="仿宋" w:cs="仿宋"/>
          <w:color w:val="auto"/>
          <w:sz w:val="30"/>
          <w:szCs w:val="30"/>
        </w:rPr>
        <w:t>地层零星分布于区内花山村、浦塘村、蓝水村、葛仙铺村等地，地层为船山组-黄龙族-老虎洞组（C</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c-h-l），岩性为微晶灰岩、结晶灰岩等。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晚古生代</w:t>
      </w:r>
      <w:r>
        <w:rPr>
          <w:rFonts w:hint="eastAsia" w:ascii="仿宋" w:hAnsi="仿宋" w:eastAsia="仿宋"/>
          <w:color w:val="auto"/>
          <w:sz w:val="30"/>
          <w:szCs w:val="30"/>
        </w:rPr>
        <w:t>二叠纪</w:t>
      </w:r>
      <w:r>
        <w:rPr>
          <w:rFonts w:hint="eastAsia" w:ascii="仿宋" w:hAnsi="仿宋" w:eastAsia="仿宋" w:cs="仿宋"/>
          <w:color w:val="auto"/>
          <w:sz w:val="30"/>
          <w:szCs w:val="30"/>
        </w:rPr>
        <w:t>地层分布于区内西北部升金湖南岸，东马鞍山组（T</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d）、南陵湖组、龙山组-殷坑组（T</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n-h-y）、大隆组（P</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d）、龙潭组（P</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l）、吴家坪组(P</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w)、武穴组(P</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w)、银屏组(P</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y)、孤峰组-栖霞组(P</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g-q)零散出露，岩性为灰岩、粉砂岩、泥岩、页岩等，有互层现象。</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olor w:val="auto"/>
          <w:sz w:val="30"/>
          <w:szCs w:val="30"/>
        </w:rPr>
        <w:t>中生代</w:t>
      </w:r>
      <w:r>
        <w:rPr>
          <w:rFonts w:hint="eastAsia" w:ascii="仿宋" w:hAnsi="仿宋" w:eastAsia="仿宋" w:cs="仿宋"/>
          <w:color w:val="auto"/>
          <w:sz w:val="30"/>
          <w:szCs w:val="30"/>
        </w:rPr>
        <w:t>白垩纪、三叠纪地层分布于区内龙泉镇东部、东流镇附近，宣南组（K</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xn）、徽州组（K</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h）零散分布，岩性为砾岩、砂岩、粉砂岩、泥岩、页岩等，有互层现象。</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新生代第四纪、第三纪地层分布于区内西北沿江平原及黄湓河、尧渡河、香隅河、龙泉河等低洼地带，尤以芜湖组（Q</w:t>
      </w:r>
      <w:r>
        <w:rPr>
          <w:rFonts w:hint="eastAsia" w:ascii="仿宋" w:hAnsi="仿宋" w:eastAsia="仿宋" w:cs="仿宋"/>
          <w:color w:val="auto"/>
          <w:sz w:val="30"/>
          <w:szCs w:val="30"/>
          <w:vertAlign w:val="subscript"/>
        </w:rPr>
        <w:t>4</w:t>
      </w:r>
      <w:r>
        <w:rPr>
          <w:rFonts w:hint="eastAsia" w:ascii="仿宋" w:hAnsi="仿宋" w:eastAsia="仿宋" w:cs="仿宋"/>
          <w:color w:val="auto"/>
          <w:sz w:val="30"/>
          <w:szCs w:val="30"/>
        </w:rPr>
        <w:t>w）、下蜀组（Q</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x）最为广泛，其次为戚家矶组（Q</w:t>
      </w:r>
      <w:r>
        <w:rPr>
          <w:rFonts w:hint="eastAsia" w:ascii="仿宋" w:hAnsi="仿宋" w:eastAsia="仿宋" w:cs="仿宋"/>
          <w:color w:val="auto"/>
          <w:sz w:val="30"/>
          <w:szCs w:val="30"/>
          <w:vertAlign w:val="subscript"/>
        </w:rPr>
        <w:t>2</w:t>
      </w:r>
      <w:r>
        <w:rPr>
          <w:rFonts w:hint="eastAsia" w:ascii="仿宋" w:hAnsi="仿宋" w:eastAsia="仿宋" w:cs="仿宋"/>
          <w:color w:val="auto"/>
          <w:sz w:val="30"/>
          <w:szCs w:val="30"/>
        </w:rPr>
        <w:t>q）、朱冲组（Q</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z）、望虎墩组（E</w:t>
      </w:r>
      <w:r>
        <w:rPr>
          <w:rFonts w:hint="eastAsia" w:ascii="仿宋" w:hAnsi="仿宋" w:eastAsia="仿宋" w:cs="仿宋"/>
          <w:color w:val="auto"/>
          <w:sz w:val="30"/>
          <w:szCs w:val="30"/>
          <w:vertAlign w:val="subscript"/>
        </w:rPr>
        <w:t>1</w:t>
      </w:r>
      <w:r>
        <w:rPr>
          <w:rFonts w:hint="eastAsia" w:ascii="仿宋" w:hAnsi="仿宋" w:eastAsia="仿宋" w:cs="仿宋"/>
          <w:color w:val="auto"/>
          <w:sz w:val="30"/>
          <w:szCs w:val="30"/>
        </w:rPr>
        <w:t>w），岩性为冲积粘土、粉砂、细砂；湖积粉质粘土、粘土、淤泥炭层、厚层砂岩、含砾砂岩等。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2</w:t>
      </w:r>
      <w:r>
        <w:rPr>
          <w:rFonts w:hint="eastAsia" w:ascii="仿宋" w:hAnsi="仿宋" w:eastAsia="仿宋"/>
          <w:color w:val="auto"/>
          <w:sz w:val="30"/>
          <w:szCs w:val="30"/>
        </w:rPr>
        <w:t>）</w:t>
      </w:r>
      <w:r>
        <w:rPr>
          <w:rFonts w:hint="eastAsia" w:ascii="仿宋" w:hAnsi="仿宋" w:eastAsia="仿宋"/>
          <w:color w:val="auto"/>
          <w:sz w:val="30"/>
          <w:szCs w:val="30"/>
          <w:lang w:val="en-US" w:eastAsia="zh-CN"/>
        </w:rPr>
        <w:t>岩浆岩</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区内岩浆岩主要为</w:t>
      </w:r>
      <w:r>
        <w:rPr>
          <w:rFonts w:hint="eastAsia" w:ascii="仿宋" w:hAnsi="仿宋" w:eastAsia="仿宋"/>
          <w:color w:val="auto"/>
          <w:sz w:val="30"/>
          <w:szCs w:val="30"/>
        </w:rPr>
        <w:t>侏罗纪</w:t>
      </w:r>
      <w:r>
        <w:rPr>
          <w:rFonts w:hint="eastAsia" w:ascii="仿宋" w:hAnsi="仿宋" w:eastAsia="仿宋" w:cs="仿宋"/>
          <w:color w:val="auto"/>
          <w:sz w:val="30"/>
          <w:szCs w:val="30"/>
        </w:rPr>
        <w:t>及白垩纪侵入岩，呈岩体或岩脉状，境内多处有零星出露，全县出露面积不足1km</w:t>
      </w:r>
      <w:r>
        <w:rPr>
          <w:rFonts w:hint="eastAsia" w:ascii="仿宋" w:hAnsi="仿宋" w:eastAsia="仿宋" w:cs="仿宋"/>
          <w:color w:val="auto"/>
          <w:sz w:val="30"/>
          <w:szCs w:val="30"/>
          <w:vertAlign w:val="superscript"/>
        </w:rPr>
        <w:t>2</w:t>
      </w:r>
      <w:r>
        <w:rPr>
          <w:rFonts w:hint="eastAsia" w:ascii="仿宋" w:hAnsi="仿宋" w:eastAsia="仿宋" w:cs="仿宋"/>
          <w:color w:val="auto"/>
          <w:sz w:val="30"/>
          <w:szCs w:val="30"/>
        </w:rPr>
        <w:t>，包括花山花岗闪长斑岩侵入体（Hyδ</w:t>
      </w:r>
      <w:r>
        <w:rPr>
          <w:rFonts w:hint="eastAsia" w:ascii="仿宋" w:hAnsi="仿宋" w:eastAsia="仿宋" w:cs="仿宋"/>
          <w:color w:val="auto"/>
          <w:sz w:val="30"/>
          <w:szCs w:val="30"/>
          <w:shd w:val="clear" w:color="auto" w:fill="FFFFFF"/>
        </w:rPr>
        <w:t>πJ3</w:t>
      </w:r>
      <w:r>
        <w:rPr>
          <w:rFonts w:hint="eastAsia" w:ascii="仿宋" w:hAnsi="仿宋" w:eastAsia="仿宋" w:cs="仿宋"/>
          <w:color w:val="auto"/>
          <w:sz w:val="30"/>
          <w:szCs w:val="30"/>
        </w:rPr>
        <w:t>）、石英脉（q）、花岗斑岩脉（γ</w:t>
      </w:r>
      <w:r>
        <w:rPr>
          <w:rFonts w:hint="eastAsia" w:ascii="仿宋" w:hAnsi="仿宋" w:eastAsia="仿宋" w:cs="仿宋"/>
          <w:color w:val="auto"/>
          <w:sz w:val="30"/>
          <w:szCs w:val="30"/>
          <w:shd w:val="clear" w:color="auto" w:fill="FFFFFF"/>
        </w:rPr>
        <w:t>π</w:t>
      </w:r>
      <w:r>
        <w:rPr>
          <w:rFonts w:hint="eastAsia" w:ascii="仿宋" w:hAnsi="仿宋" w:eastAsia="仿宋" w:cs="仿宋"/>
          <w:color w:val="auto"/>
          <w:sz w:val="30"/>
          <w:szCs w:val="30"/>
        </w:rPr>
        <w:t>）、花岗闪长斑岩（γδ</w:t>
      </w:r>
      <w:r>
        <w:rPr>
          <w:rFonts w:hint="eastAsia" w:ascii="仿宋" w:hAnsi="仿宋" w:eastAsia="仿宋" w:cs="仿宋"/>
          <w:color w:val="auto"/>
          <w:sz w:val="30"/>
          <w:szCs w:val="30"/>
          <w:shd w:val="clear" w:color="auto" w:fill="FFFFFF"/>
        </w:rPr>
        <w:t>π</w:t>
      </w:r>
      <w:r>
        <w:rPr>
          <w:rFonts w:hint="eastAsia" w:ascii="仿宋" w:hAnsi="仿宋" w:eastAsia="仿宋" w:cs="仿宋"/>
          <w:color w:val="auto"/>
          <w:sz w:val="30"/>
          <w:szCs w:val="30"/>
        </w:rPr>
        <w:t>）、闪长玢岩脉（δμ）、灰绿玢岩脉（βμ）等。岩浆岩侵入深度较浅，一般2～3km；岩体产出主要受断层控制，经剥蚀出露部分就出现了形状各异的岩株或岩枝，地表岩石强烈蚀变。</w:t>
      </w:r>
    </w:p>
    <w:p>
      <w:pPr>
        <w:pStyle w:val="3"/>
        <w:rPr>
          <w:rFonts w:hint="eastAsia"/>
          <w:color w:val="auto"/>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ind w:firstLine="560" w:firstLineChars="200"/>
        <w:jc w:val="center"/>
        <w:rPr>
          <w:rFonts w:hint="eastAsia" w:ascii="宋体" w:hAnsi="宋体"/>
          <w:color w:val="auto"/>
          <w:sz w:val="28"/>
          <w:szCs w:val="28"/>
        </w:rPr>
      </w:pPr>
      <w:r>
        <w:rPr>
          <w:rFonts w:hint="eastAsia" w:ascii="宋体" w:hAnsi="宋体"/>
          <w:color w:val="auto"/>
          <w:sz w:val="28"/>
          <w:szCs w:val="28"/>
        </w:rPr>
        <w:t>表3-1</w:t>
      </w:r>
      <w:r>
        <w:rPr>
          <w:rFonts w:ascii="宋体" w:hAnsi="宋体"/>
          <w:color w:val="auto"/>
          <w:sz w:val="28"/>
          <w:szCs w:val="28"/>
        </w:rPr>
        <w:t xml:space="preserve">  </w:t>
      </w:r>
      <w:r>
        <w:rPr>
          <w:rFonts w:hint="eastAsia" w:ascii="宋体" w:hAnsi="宋体"/>
          <w:color w:val="auto"/>
          <w:sz w:val="28"/>
          <w:szCs w:val="28"/>
        </w:rPr>
        <w:t>东至县地层表---下扬子地层分区（资料来源《安徽省东至县1:50000地质灾害调查报告》）</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515"/>
        <w:gridCol w:w="694"/>
        <w:gridCol w:w="602"/>
        <w:gridCol w:w="675"/>
        <w:gridCol w:w="485"/>
        <w:gridCol w:w="485"/>
        <w:gridCol w:w="636"/>
        <w:gridCol w:w="636"/>
        <w:gridCol w:w="1442"/>
        <w:gridCol w:w="1442"/>
        <w:gridCol w:w="5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代</w:t>
            </w:r>
          </w:p>
        </w:tc>
        <w:tc>
          <w:tcPr>
            <w:tcW w:w="182"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地层名称</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符号</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厚度（m）</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主要岩性</w:t>
            </w:r>
          </w:p>
        </w:tc>
        <w:tc>
          <w:tcPr>
            <w:tcW w:w="202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restart"/>
            <w:noWrap w:val="0"/>
            <w:vAlign w:val="center"/>
          </w:tcPr>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新</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生</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代</w:t>
            </w: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第四纪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全新世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芜湖组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Q</w:t>
            </w:r>
            <w:r>
              <w:rPr>
                <w:rFonts w:hint="eastAsia" w:ascii="宋体" w:hAnsi="宋体" w:eastAsia="宋体" w:cs="宋体"/>
                <w:color w:val="auto"/>
                <w:sz w:val="18"/>
                <w:szCs w:val="18"/>
                <w:vertAlign w:val="subscript"/>
              </w:rPr>
              <w:t>4</w:t>
            </w:r>
            <w:r>
              <w:rPr>
                <w:rFonts w:hint="eastAsia" w:ascii="宋体" w:hAnsi="宋体" w:eastAsia="宋体" w:cs="宋体"/>
                <w:color w:val="auto"/>
                <w:sz w:val="18"/>
                <w:szCs w:val="18"/>
              </w:rPr>
              <w:t>w</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冲积粘土、粉砂、细砂；湖积粉质粘土、粘土、淤泥炭层</w:t>
            </w:r>
          </w:p>
        </w:tc>
        <w:tc>
          <w:tcPr>
            <w:tcW w:w="202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分布于境内西北沿江平原及黄湓河、尧渡河、香隅河等低洼地带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更新世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下蜀组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Q</w:t>
            </w:r>
            <w:r>
              <w:rPr>
                <w:rFonts w:hint="eastAsia" w:ascii="宋体" w:hAnsi="宋体" w:eastAsia="宋体" w:cs="宋体"/>
                <w:color w:val="auto"/>
                <w:sz w:val="18"/>
                <w:szCs w:val="18"/>
                <w:vertAlign w:val="subscript"/>
              </w:rPr>
              <w:t>3</w:t>
            </w:r>
            <w:r>
              <w:rPr>
                <w:rFonts w:hint="eastAsia" w:ascii="宋体" w:hAnsi="宋体" w:eastAsia="宋体" w:cs="宋体"/>
                <w:color w:val="auto"/>
                <w:sz w:val="18"/>
                <w:szCs w:val="18"/>
              </w:rPr>
              <w:t>x</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2～10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粉质粘土、砂质粘土、细-粉砂、粘土</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戚家矶组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Q</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q</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蠕虫状泥砾或含砾粘土</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朱冲组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Q</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z</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砾石层夹砂层</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第三纪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古新世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望虎墩组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E</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w</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＞112</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紫红、棕红色厚层砂岩、含砾砂岩等</w:t>
            </w:r>
          </w:p>
        </w:tc>
        <w:tc>
          <w:tcPr>
            <w:tcW w:w="202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分布于东流镇南部及张溪镇北部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restart"/>
            <w:noWrap w:val="0"/>
            <w:vAlign w:val="center"/>
          </w:tcPr>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中</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生</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代</w:t>
            </w: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白垩纪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宣南组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K</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xn</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&gt;100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砖红、暗紫、棕红色砾岩，钙质、铁质细砂岩、粉砂岩、页岩互层</w:t>
            </w:r>
          </w:p>
        </w:tc>
        <w:tc>
          <w:tcPr>
            <w:tcW w:w="202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分布境内西北部、东流镇附近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早世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徽州组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K</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h</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50～150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砾岩、砂岩、泥岩互层</w:t>
            </w:r>
          </w:p>
        </w:tc>
        <w:tc>
          <w:tcPr>
            <w:tcW w:w="202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分布于境内南部，龙泉镇东部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三叠纪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东马鞍山组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T</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d</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&gt;800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角砾岩、白云岩、靓晶砾砂屑白云岩、球粒白云岩等</w:t>
            </w:r>
          </w:p>
        </w:tc>
        <w:tc>
          <w:tcPr>
            <w:tcW w:w="202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分布于西北部升金湖南岸，呈零星出露，面积小，切坡过陡易产生崩塌；灰岩较发育，易发生地面塌陷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早世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南陵湖组和龙山组殷坑组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T</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n-h-y</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&gt;1000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并层：蠕虫状灰岩、灰岩、揉皱灰岩、页岩、钙质页岩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restart"/>
            <w:noWrap w:val="0"/>
            <w:vAlign w:val="center"/>
          </w:tcPr>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晚</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古</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生</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代</w:t>
            </w: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二叠纪</w:t>
            </w:r>
          </w:p>
        </w:tc>
        <w:tc>
          <w:tcPr>
            <w:tcW w:w="24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大隆组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d</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20～60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硅质岩、泥岩、硅质页岩、含炭泥岩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12"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龙潭组</w:t>
            </w:r>
          </w:p>
        </w:tc>
        <w:tc>
          <w:tcPr>
            <w:tcW w:w="238"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吴家坪组</w:t>
            </w:r>
          </w:p>
        </w:tc>
        <w:tc>
          <w:tcPr>
            <w:tcW w:w="171"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l</w:t>
            </w:r>
          </w:p>
        </w:tc>
        <w:tc>
          <w:tcPr>
            <w:tcW w:w="171"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w</w:t>
            </w:r>
          </w:p>
        </w:tc>
        <w:tc>
          <w:tcPr>
            <w:tcW w:w="224"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30～80</w:t>
            </w:r>
          </w:p>
        </w:tc>
        <w:tc>
          <w:tcPr>
            <w:tcW w:w="224"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20～70</w:t>
            </w:r>
          </w:p>
        </w:tc>
        <w:tc>
          <w:tcPr>
            <w:tcW w:w="508"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灰岩、炭质页岩、砂岩、煤层</w:t>
            </w:r>
          </w:p>
        </w:tc>
        <w:tc>
          <w:tcPr>
            <w:tcW w:w="508"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灰岩、含燧石结核灰岩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早世</w:t>
            </w:r>
          </w:p>
        </w:tc>
        <w:tc>
          <w:tcPr>
            <w:tcW w:w="212"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武穴组</w:t>
            </w:r>
          </w:p>
        </w:tc>
        <w:tc>
          <w:tcPr>
            <w:tcW w:w="238"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银屏组</w:t>
            </w:r>
          </w:p>
        </w:tc>
        <w:tc>
          <w:tcPr>
            <w:tcW w:w="171"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w</w:t>
            </w:r>
          </w:p>
        </w:tc>
        <w:tc>
          <w:tcPr>
            <w:tcW w:w="171"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y</w:t>
            </w:r>
          </w:p>
        </w:tc>
        <w:tc>
          <w:tcPr>
            <w:tcW w:w="224"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＞12</w:t>
            </w:r>
          </w:p>
        </w:tc>
        <w:tc>
          <w:tcPr>
            <w:tcW w:w="224"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7～22</w:t>
            </w:r>
          </w:p>
        </w:tc>
        <w:tc>
          <w:tcPr>
            <w:tcW w:w="508"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含燧石结核灰岩夹硅质</w:t>
            </w:r>
          </w:p>
        </w:tc>
        <w:tc>
          <w:tcPr>
            <w:tcW w:w="508"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炭质页岩、页岩夹粉砂质页岩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孤峰组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g</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30～210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硅质岩夹灰岩透镜体、泥岩、含锰灰岩、炭质页岩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栖霞组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P</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q</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90～170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灰岩、生物碎屑灰岩、泥晶灰岩、底部夹炭质页岩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石碳纪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船山组黄龙组</w:t>
            </w:r>
          </w:p>
          <w:p>
            <w:pPr>
              <w:adjustRightInd w:val="0"/>
              <w:snapToGrid w:val="0"/>
              <w:spacing w:before="156" w:beforeLines="50" w:line="240" w:lineRule="exact"/>
              <w:ind w:firstLine="360" w:firstLineChars="200"/>
              <w:jc w:val="center"/>
              <w:rPr>
                <w:rFonts w:hint="eastAsia" w:ascii="宋体" w:hAnsi="宋体" w:eastAsia="宋体" w:cs="宋体"/>
                <w:color w:val="auto"/>
                <w:sz w:val="18"/>
                <w:szCs w:val="18"/>
              </w:rPr>
            </w:pPr>
            <w:r>
              <w:rPr>
                <w:rFonts w:hint="eastAsia" w:ascii="宋体" w:hAnsi="宋体" w:eastAsia="宋体" w:cs="宋体"/>
                <w:color w:val="auto"/>
                <w:sz w:val="18"/>
                <w:szCs w:val="18"/>
              </w:rPr>
              <w:t>老虎洞组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C</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c-h-l</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81～99</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并层：浅灰、微带肉红色厚层微晶灰岩、生物屑灰岩、结晶灰岩、球状灰岩等</w:t>
            </w:r>
          </w:p>
        </w:tc>
        <w:tc>
          <w:tcPr>
            <w:tcW w:w="202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零星分布于花山、浦塘、蓝水、葛仙铺等地，多组成丘陵，切坡过陡处易发生崩塌；灰岩较发育，易发生地面塌陷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泥盆纪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五通组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D</w:t>
            </w:r>
            <w:r>
              <w:rPr>
                <w:rFonts w:hint="eastAsia" w:ascii="宋体" w:hAnsi="宋体" w:eastAsia="宋体" w:cs="宋体"/>
                <w:color w:val="auto"/>
                <w:sz w:val="18"/>
                <w:szCs w:val="18"/>
                <w:vertAlign w:val="subscript"/>
              </w:rPr>
              <w:t>3</w:t>
            </w:r>
            <w:r>
              <w:rPr>
                <w:rFonts w:hint="eastAsia" w:ascii="宋体" w:hAnsi="宋体" w:eastAsia="宋体" w:cs="宋体"/>
                <w:color w:val="auto"/>
                <w:sz w:val="18"/>
                <w:szCs w:val="18"/>
              </w:rPr>
              <w:t>C</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w</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85～160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灰白、褐黄色厚层石英砂岩为主，夹少许页岩、泥岩、粉砂岩等</w:t>
            </w:r>
          </w:p>
        </w:tc>
        <w:tc>
          <w:tcPr>
            <w:tcW w:w="202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成条带状分布于张溪镇北部，多组成丘陵，切坡过陡处易产生崩塌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志留纪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茅山组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S3m</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180～340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岩屑石英砂岩、长石岩屑砂岩、粉砂岩</w:t>
            </w:r>
          </w:p>
        </w:tc>
        <w:tc>
          <w:tcPr>
            <w:tcW w:w="202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分布于北部香隅镇、东流镇、张溪镇、洋湖镇等地，多组成低山、丘陵，切坡过陡处易发生崩塌、滑坡等地质灾害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中世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坟头组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S</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f</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250～610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泥质粉砂岩、岩屑石英砂岩、粉砂岩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早世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高家边组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S</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g</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1690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泥岩、粉砂质泥岩、粉砂岩、岩屑砂岩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奥陶纪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五峰组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O</w:t>
            </w:r>
            <w:r>
              <w:rPr>
                <w:rFonts w:hint="eastAsia" w:ascii="宋体" w:hAnsi="宋体" w:eastAsia="宋体" w:cs="宋体"/>
                <w:color w:val="auto"/>
                <w:sz w:val="18"/>
                <w:szCs w:val="18"/>
                <w:vertAlign w:val="subscript"/>
              </w:rPr>
              <w:t>3</w:t>
            </w:r>
            <w:r>
              <w:rPr>
                <w:rFonts w:hint="eastAsia" w:ascii="宋体" w:hAnsi="宋体" w:eastAsia="宋体" w:cs="宋体"/>
                <w:color w:val="auto"/>
                <w:sz w:val="18"/>
                <w:szCs w:val="18"/>
              </w:rPr>
              <w:t>w</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硅质页岩、页岩</w:t>
            </w:r>
          </w:p>
        </w:tc>
        <w:tc>
          <w:tcPr>
            <w:tcW w:w="202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主要分布于同心、管山、建东、八音、北山、大源、天井等地，多组成低山、丘陵。灰岩较发育，易发生地面塌陷；高陡切坡处易发生崩塌等地质灾害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中世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汤头组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O</w:t>
            </w:r>
            <w:r>
              <w:rPr>
                <w:rFonts w:hint="eastAsia" w:ascii="宋体" w:hAnsi="宋体" w:eastAsia="宋体" w:cs="宋体"/>
                <w:color w:val="auto"/>
                <w:sz w:val="18"/>
                <w:szCs w:val="18"/>
                <w:vertAlign w:val="subscript"/>
              </w:rPr>
              <w:t>2-3</w:t>
            </w:r>
            <w:r>
              <w:rPr>
                <w:rFonts w:hint="eastAsia" w:ascii="宋体" w:hAnsi="宋体" w:eastAsia="宋体" w:cs="宋体"/>
                <w:color w:val="auto"/>
                <w:sz w:val="18"/>
                <w:szCs w:val="18"/>
              </w:rPr>
              <w:t>t</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15～34</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瘤状泥质灰岩，上部夹粉砂质泥岩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宝塔组大田坝组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O</w:t>
            </w:r>
            <w:r>
              <w:rPr>
                <w:rFonts w:hint="eastAsia" w:ascii="宋体" w:hAnsi="宋体" w:eastAsia="宋体" w:cs="宋体"/>
                <w:color w:val="auto"/>
                <w:sz w:val="18"/>
                <w:szCs w:val="18"/>
                <w:vertAlign w:val="subscript"/>
              </w:rPr>
              <w:t>2</w:t>
            </w:r>
            <w:r>
              <w:rPr>
                <w:rFonts w:hint="eastAsia" w:ascii="宋体" w:hAnsi="宋体" w:eastAsia="宋体" w:cs="宋体"/>
                <w:color w:val="auto"/>
                <w:sz w:val="18"/>
                <w:szCs w:val="18"/>
              </w:rPr>
              <w:t>b-d</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25～62</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并层：紫红色微晶灰岩、瘤状灰岩</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早世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牯牛潭组紫台组红花园组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O</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g-z-h</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36～56</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并层：灰红色、紫红色微晶灰岩、瘤状灰岩、砂屑灰岩、泥晶灰岩等</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24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仑山组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O</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l</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413～750</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灰色厚层灰质白云岩、白云质灰岩、灰岩、鲕状灰岩等</w:t>
            </w:r>
          </w:p>
        </w:tc>
        <w:tc>
          <w:tcPr>
            <w:tcW w:w="2025"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p>
        </w:tc>
        <w:tc>
          <w:tcPr>
            <w:tcW w:w="182"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寒武纪</w:t>
            </w:r>
          </w:p>
        </w:tc>
        <w:tc>
          <w:tcPr>
            <w:tcW w:w="245" w:type="pc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晚世</w:t>
            </w:r>
          </w:p>
        </w:tc>
        <w:tc>
          <w:tcPr>
            <w:tcW w:w="450"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青坑组</w:t>
            </w:r>
          </w:p>
        </w:tc>
        <w:tc>
          <w:tcPr>
            <w:tcW w:w="342"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w:t>
            </w:r>
            <w:r>
              <w:rPr>
                <w:rFonts w:hint="eastAsia" w:ascii="宋体" w:hAnsi="宋体" w:eastAsia="宋体" w:cs="宋体"/>
                <w:color w:val="auto"/>
                <w:sz w:val="18"/>
                <w:szCs w:val="18"/>
                <w:vertAlign w:val="subscript"/>
              </w:rPr>
              <w:t>3</w:t>
            </w:r>
            <w:r>
              <w:rPr>
                <w:rFonts w:hint="eastAsia" w:ascii="宋体" w:hAnsi="宋体" w:eastAsia="宋体" w:cs="宋体"/>
                <w:color w:val="auto"/>
                <w:sz w:val="18"/>
                <w:szCs w:val="18"/>
              </w:rPr>
              <w:t>q</w:t>
            </w:r>
          </w:p>
        </w:tc>
        <w:tc>
          <w:tcPr>
            <w:tcW w:w="448"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291～436</w:t>
            </w:r>
          </w:p>
        </w:tc>
        <w:tc>
          <w:tcPr>
            <w:tcW w:w="1016" w:type="pct"/>
            <w:gridSpan w:val="2"/>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青灰色生物屑灰岩、泥质灰岩等</w:t>
            </w:r>
          </w:p>
        </w:tc>
        <w:tc>
          <w:tcPr>
            <w:tcW w:w="2025" w:type="pct"/>
            <w:vMerge w:val="restart"/>
            <w:noWrap w:val="0"/>
            <w:vAlign w:val="center"/>
          </w:tcPr>
          <w:p>
            <w:pPr>
              <w:adjustRightInd w:val="0"/>
              <w:snapToGrid w:val="0"/>
              <w:spacing w:before="156" w:beforeLines="50" w:line="240" w:lineRule="exact"/>
              <w:ind w:firstLine="0" w:firstLineChars="0"/>
              <w:jc w:val="center"/>
              <w:rPr>
                <w:rFonts w:hint="eastAsia" w:ascii="宋体" w:hAnsi="宋体" w:eastAsia="宋体" w:cs="宋体"/>
                <w:color w:val="auto"/>
                <w:sz w:val="18"/>
                <w:szCs w:val="18"/>
              </w:rPr>
            </w:pPr>
            <w:r>
              <w:rPr>
                <w:rFonts w:hint="eastAsia" w:ascii="宋体" w:hAnsi="宋体" w:eastAsia="宋体" w:cs="宋体"/>
                <w:color w:val="auto"/>
                <w:sz w:val="18"/>
                <w:szCs w:val="18"/>
              </w:rPr>
              <w:t>主要分布于孝义、兰潭、龙丰、跌山、兰城、汪村、香泉等地，多呈长条状延伸。分布于丘陵地带，灰岩较发育，易发生地面塌陷；在构造破碎带、采石场、高陡边坡地带易发生崩塌、滑坡等地质灾害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spacing w:line="240" w:lineRule="exact"/>
              <w:ind w:firstLine="0" w:firstLineChars="0"/>
              <w:jc w:val="center"/>
              <w:rPr>
                <w:rFonts w:ascii="宋体" w:hAnsi="宋体" w:eastAsia="宋体" w:cs="宋体"/>
                <w:color w:val="auto"/>
                <w:sz w:val="18"/>
                <w:szCs w:val="18"/>
              </w:rPr>
            </w:pPr>
          </w:p>
        </w:tc>
        <w:tc>
          <w:tcPr>
            <w:tcW w:w="182" w:type="pct"/>
            <w:vMerge w:val="continue"/>
            <w:noWrap w:val="0"/>
            <w:vAlign w:val="center"/>
          </w:tcPr>
          <w:p>
            <w:pPr>
              <w:spacing w:line="240" w:lineRule="exact"/>
              <w:ind w:firstLine="0" w:firstLineChars="0"/>
              <w:jc w:val="center"/>
              <w:rPr>
                <w:rFonts w:ascii="宋体" w:hAnsi="宋体" w:eastAsia="宋体" w:cs="宋体"/>
                <w:color w:val="auto"/>
                <w:sz w:val="18"/>
                <w:szCs w:val="18"/>
              </w:rPr>
            </w:pPr>
          </w:p>
        </w:tc>
        <w:tc>
          <w:tcPr>
            <w:tcW w:w="245" w:type="pct"/>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中、晚世</w:t>
            </w:r>
          </w:p>
        </w:tc>
        <w:tc>
          <w:tcPr>
            <w:tcW w:w="450"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团山组</w:t>
            </w:r>
          </w:p>
        </w:tc>
        <w:tc>
          <w:tcPr>
            <w:tcW w:w="342"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w:t>
            </w:r>
            <w:r>
              <w:rPr>
                <w:rFonts w:hint="eastAsia" w:ascii="宋体" w:hAnsi="宋体" w:eastAsia="宋体" w:cs="宋体"/>
                <w:color w:val="auto"/>
                <w:sz w:val="18"/>
                <w:szCs w:val="18"/>
                <w:vertAlign w:val="subscript"/>
              </w:rPr>
              <w:t>2-3</w:t>
            </w:r>
            <w:r>
              <w:rPr>
                <w:rFonts w:hint="eastAsia" w:ascii="宋体" w:hAnsi="宋体" w:eastAsia="宋体" w:cs="宋体"/>
                <w:color w:val="auto"/>
                <w:sz w:val="18"/>
                <w:szCs w:val="18"/>
              </w:rPr>
              <w:t>t</w:t>
            </w:r>
          </w:p>
        </w:tc>
        <w:tc>
          <w:tcPr>
            <w:tcW w:w="448"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101～465</w:t>
            </w:r>
          </w:p>
        </w:tc>
        <w:tc>
          <w:tcPr>
            <w:tcW w:w="1016"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灰-深灰色中厚层微晶灰岩、含竹叶状砾屑灰岩等</w:t>
            </w:r>
          </w:p>
        </w:tc>
        <w:tc>
          <w:tcPr>
            <w:tcW w:w="2025" w:type="pct"/>
            <w:vMerge w:val="continue"/>
            <w:noWrap w:val="0"/>
            <w:vAlign w:val="center"/>
          </w:tcPr>
          <w:p>
            <w:pPr>
              <w:spacing w:line="240" w:lineRule="exact"/>
              <w:ind w:firstLine="0" w:firstLineChars="0"/>
              <w:jc w:val="center"/>
              <w:rPr>
                <w:rFonts w:ascii="宋体" w:hAnsi="宋体" w:eastAsia="宋体" w:cs="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7" w:type="pct"/>
            <w:vMerge w:val="continue"/>
            <w:noWrap w:val="0"/>
            <w:vAlign w:val="center"/>
          </w:tcPr>
          <w:p>
            <w:pPr>
              <w:spacing w:line="240" w:lineRule="exact"/>
              <w:ind w:firstLine="0" w:firstLineChars="0"/>
              <w:jc w:val="center"/>
              <w:rPr>
                <w:rFonts w:ascii="宋体" w:hAnsi="宋体" w:eastAsia="宋体" w:cs="宋体"/>
                <w:color w:val="auto"/>
                <w:sz w:val="18"/>
                <w:szCs w:val="18"/>
              </w:rPr>
            </w:pPr>
          </w:p>
        </w:tc>
        <w:tc>
          <w:tcPr>
            <w:tcW w:w="182" w:type="pct"/>
            <w:vMerge w:val="continue"/>
            <w:noWrap w:val="0"/>
            <w:vAlign w:val="center"/>
          </w:tcPr>
          <w:p>
            <w:pPr>
              <w:spacing w:line="240" w:lineRule="exact"/>
              <w:ind w:firstLine="0" w:firstLineChars="0"/>
              <w:jc w:val="center"/>
              <w:rPr>
                <w:rFonts w:ascii="宋体" w:hAnsi="宋体" w:eastAsia="宋体" w:cs="宋体"/>
                <w:color w:val="auto"/>
                <w:sz w:val="18"/>
                <w:szCs w:val="18"/>
              </w:rPr>
            </w:pPr>
          </w:p>
        </w:tc>
        <w:tc>
          <w:tcPr>
            <w:tcW w:w="245" w:type="pct"/>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早世</w:t>
            </w:r>
          </w:p>
        </w:tc>
        <w:tc>
          <w:tcPr>
            <w:tcW w:w="450"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黄柏岭组</w:t>
            </w:r>
          </w:p>
        </w:tc>
        <w:tc>
          <w:tcPr>
            <w:tcW w:w="342"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w:t>
            </w:r>
            <w:r>
              <w:rPr>
                <w:rFonts w:hint="eastAsia" w:ascii="宋体" w:hAnsi="宋体" w:eastAsia="宋体" w:cs="宋体"/>
                <w:color w:val="auto"/>
                <w:sz w:val="18"/>
                <w:szCs w:val="18"/>
                <w:vertAlign w:val="subscript"/>
              </w:rPr>
              <w:t>1</w:t>
            </w:r>
            <w:r>
              <w:rPr>
                <w:rFonts w:hint="eastAsia" w:ascii="宋体" w:hAnsi="宋体" w:eastAsia="宋体" w:cs="宋体"/>
                <w:color w:val="auto"/>
                <w:sz w:val="18"/>
                <w:szCs w:val="18"/>
              </w:rPr>
              <w:t>hn</w:t>
            </w:r>
          </w:p>
        </w:tc>
        <w:tc>
          <w:tcPr>
            <w:tcW w:w="448"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550</w:t>
            </w:r>
          </w:p>
        </w:tc>
        <w:tc>
          <w:tcPr>
            <w:tcW w:w="1016" w:type="pct"/>
            <w:gridSpan w:val="2"/>
            <w:noWrap w:val="0"/>
            <w:vAlign w:val="center"/>
          </w:tcPr>
          <w:p>
            <w:pPr>
              <w:spacing w:line="240" w:lineRule="exact"/>
              <w:ind w:firstLine="0" w:firstLineChars="0"/>
              <w:jc w:val="center"/>
              <w:rPr>
                <w:rFonts w:ascii="宋体" w:hAnsi="宋体" w:eastAsia="宋体" w:cs="宋体"/>
                <w:color w:val="auto"/>
                <w:sz w:val="18"/>
                <w:szCs w:val="18"/>
              </w:rPr>
            </w:pPr>
            <w:r>
              <w:rPr>
                <w:rFonts w:hint="eastAsia" w:ascii="宋体" w:hAnsi="宋体" w:eastAsia="宋体" w:cs="宋体"/>
                <w:color w:val="auto"/>
                <w:sz w:val="18"/>
                <w:szCs w:val="18"/>
              </w:rPr>
              <w:t>黄绿色页岩、炭质硅质页岩、石煤层、透镜状灰岩</w:t>
            </w:r>
          </w:p>
        </w:tc>
        <w:tc>
          <w:tcPr>
            <w:tcW w:w="2025" w:type="pct"/>
            <w:vMerge w:val="continue"/>
            <w:noWrap w:val="0"/>
            <w:vAlign w:val="center"/>
          </w:tcPr>
          <w:p>
            <w:pPr>
              <w:spacing w:line="240" w:lineRule="exact"/>
              <w:ind w:firstLine="0" w:firstLineChars="0"/>
              <w:jc w:val="center"/>
              <w:rPr>
                <w:rFonts w:ascii="宋体" w:hAnsi="宋体" w:eastAsia="宋体" w:cs="宋体"/>
                <w:color w:val="auto"/>
                <w:sz w:val="18"/>
                <w:szCs w:val="18"/>
              </w:rPr>
            </w:pPr>
          </w:p>
        </w:tc>
      </w:tr>
    </w:tbl>
    <w:p>
      <w:pPr>
        <w:ind w:firstLine="560" w:firstLineChars="200"/>
        <w:jc w:val="center"/>
        <w:rPr>
          <w:rFonts w:hint="eastAsia" w:ascii="宋体" w:hAnsi="宋体"/>
          <w:color w:val="auto"/>
          <w:sz w:val="28"/>
          <w:szCs w:val="28"/>
        </w:rPr>
      </w:pPr>
      <w:r>
        <w:rPr>
          <w:rFonts w:hint="eastAsia" w:ascii="宋体" w:hAnsi="宋体"/>
          <w:color w:val="auto"/>
          <w:sz w:val="28"/>
          <w:szCs w:val="28"/>
        </w:rPr>
        <w:t>表</w:t>
      </w:r>
      <w:r>
        <w:rPr>
          <w:rFonts w:hint="eastAsia" w:ascii="宋体" w:hAnsi="宋体"/>
          <w:color w:val="auto"/>
          <w:sz w:val="28"/>
          <w:szCs w:val="28"/>
          <w:lang w:val="en-US" w:eastAsia="zh-CN"/>
        </w:rPr>
        <w:t>3</w:t>
      </w:r>
      <w:r>
        <w:rPr>
          <w:rFonts w:hint="eastAsia" w:ascii="宋体" w:hAnsi="宋体"/>
          <w:color w:val="auto"/>
          <w:sz w:val="28"/>
          <w:szCs w:val="28"/>
        </w:rPr>
        <w:t>-2   东至县地层表---江南地层分区</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816"/>
        <w:gridCol w:w="552"/>
        <w:gridCol w:w="1775"/>
        <w:gridCol w:w="729"/>
        <w:gridCol w:w="1250"/>
        <w:gridCol w:w="4213"/>
        <w:gridCol w:w="40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exact"/>
          <w:jc w:val="center"/>
        </w:trPr>
        <w:tc>
          <w:tcPr>
            <w:tcW w:w="191"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代</w:t>
            </w:r>
          </w:p>
        </w:tc>
        <w:tc>
          <w:tcPr>
            <w:tcW w:w="205"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纪</w:t>
            </w:r>
          </w:p>
        </w:tc>
        <w:tc>
          <w:tcPr>
            <w:tcW w:w="225"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地层名称</w:t>
            </w:r>
          </w:p>
        </w:tc>
        <w:tc>
          <w:tcPr>
            <w:tcW w:w="287"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符号</w:t>
            </w:r>
          </w:p>
        </w:tc>
        <w:tc>
          <w:tcPr>
            <w:tcW w:w="471"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厚度（</w:t>
            </w:r>
            <w:r>
              <w:rPr>
                <w:rFonts w:eastAsia="宋体"/>
                <w:color w:val="auto"/>
                <w:sz w:val="18"/>
                <w:szCs w:val="18"/>
              </w:rPr>
              <w:t>m</w:t>
            </w:r>
            <w:r>
              <w:rPr>
                <w:rFonts w:hAnsi="宋体" w:eastAsia="宋体"/>
                <w:color w:val="auto"/>
                <w:sz w:val="18"/>
                <w:szCs w:val="18"/>
              </w:rPr>
              <w:t>）</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主要岩性</w:t>
            </w:r>
          </w:p>
        </w:tc>
        <w:tc>
          <w:tcPr>
            <w:tcW w:w="1449"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分布特征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exact"/>
          <w:jc w:val="center"/>
        </w:trPr>
        <w:tc>
          <w:tcPr>
            <w:tcW w:w="191" w:type="pct"/>
            <w:vMerge w:val="restart"/>
            <w:noWrap w:val="0"/>
            <w:vAlign w:val="center"/>
          </w:tcPr>
          <w:p>
            <w:pPr>
              <w:spacing w:line="240" w:lineRule="exact"/>
              <w:ind w:firstLine="360" w:firstLineChars="200"/>
              <w:jc w:val="center"/>
              <w:rPr>
                <w:rFonts w:eastAsia="宋体"/>
                <w:color w:val="auto"/>
                <w:sz w:val="18"/>
                <w:szCs w:val="18"/>
              </w:rPr>
            </w:pPr>
            <w:r>
              <w:rPr>
                <w:rFonts w:hAnsi="宋体" w:eastAsia="宋体"/>
                <w:color w:val="auto"/>
                <w:sz w:val="18"/>
                <w:szCs w:val="18"/>
              </w:rPr>
              <w:t>新</w:t>
            </w:r>
          </w:p>
          <w:p>
            <w:pPr>
              <w:spacing w:line="240" w:lineRule="exact"/>
              <w:ind w:firstLine="360" w:firstLineChars="200"/>
              <w:jc w:val="center"/>
              <w:rPr>
                <w:rFonts w:eastAsia="宋体"/>
                <w:color w:val="auto"/>
                <w:sz w:val="18"/>
                <w:szCs w:val="18"/>
              </w:rPr>
            </w:pPr>
            <w:r>
              <w:rPr>
                <w:rFonts w:hAnsi="宋体" w:eastAsia="宋体"/>
                <w:color w:val="auto"/>
                <w:sz w:val="18"/>
                <w:szCs w:val="18"/>
              </w:rPr>
              <w:t>生</w:t>
            </w:r>
          </w:p>
          <w:p>
            <w:pPr>
              <w:spacing w:line="240" w:lineRule="exact"/>
              <w:ind w:firstLine="360" w:firstLineChars="200"/>
              <w:jc w:val="center"/>
              <w:rPr>
                <w:rFonts w:eastAsia="宋体"/>
                <w:color w:val="auto"/>
                <w:sz w:val="18"/>
                <w:szCs w:val="18"/>
              </w:rPr>
            </w:pPr>
            <w:r>
              <w:rPr>
                <w:rFonts w:hAnsi="宋体" w:eastAsia="宋体"/>
                <w:color w:val="auto"/>
                <w:sz w:val="18"/>
                <w:szCs w:val="18"/>
              </w:rPr>
              <w:t>代</w:t>
            </w:r>
          </w:p>
        </w:tc>
        <w:tc>
          <w:tcPr>
            <w:tcW w:w="205"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第四纪</w:t>
            </w:r>
          </w:p>
        </w:tc>
        <w:tc>
          <w:tcPr>
            <w:tcW w:w="225"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全新世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芜湖组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Q</w:t>
            </w:r>
            <w:r>
              <w:rPr>
                <w:rFonts w:eastAsia="宋体"/>
                <w:color w:val="auto"/>
                <w:sz w:val="18"/>
                <w:szCs w:val="18"/>
                <w:vertAlign w:val="subscript"/>
              </w:rPr>
              <w:t>4</w:t>
            </w:r>
            <w:r>
              <w:rPr>
                <w:rFonts w:eastAsia="宋体"/>
                <w:color w:val="auto"/>
                <w:sz w:val="18"/>
                <w:szCs w:val="18"/>
              </w:rPr>
              <w:t>w</w:t>
            </w:r>
          </w:p>
        </w:tc>
        <w:tc>
          <w:tcPr>
            <w:tcW w:w="471"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w:t>
            </w:r>
            <w:r>
              <w:rPr>
                <w:rFonts w:eastAsia="宋体"/>
                <w:color w:val="auto"/>
                <w:sz w:val="18"/>
                <w:szCs w:val="18"/>
              </w:rPr>
              <w:t>10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冲积粘土、粉砂、细砂；湖积粉质粘土、粘土、淤泥炭层</w:t>
            </w:r>
          </w:p>
        </w:tc>
        <w:tc>
          <w:tcPr>
            <w:tcW w:w="1449"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分布于境内龙泉河等低洼地带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更新世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下蜀组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Q</w:t>
            </w:r>
            <w:r>
              <w:rPr>
                <w:rFonts w:eastAsia="宋体"/>
                <w:color w:val="auto"/>
                <w:sz w:val="18"/>
                <w:szCs w:val="18"/>
                <w:vertAlign w:val="subscript"/>
              </w:rPr>
              <w:t>3</w:t>
            </w:r>
            <w:r>
              <w:rPr>
                <w:rFonts w:eastAsia="宋体"/>
                <w:color w:val="auto"/>
                <w:sz w:val="18"/>
                <w:szCs w:val="18"/>
              </w:rPr>
              <w:t>x</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2</w:t>
            </w:r>
            <w:r>
              <w:rPr>
                <w:rFonts w:hAnsi="宋体" w:eastAsia="宋体"/>
                <w:color w:val="auto"/>
                <w:sz w:val="18"/>
                <w:szCs w:val="18"/>
              </w:rPr>
              <w:t>～</w:t>
            </w:r>
            <w:r>
              <w:rPr>
                <w:rFonts w:eastAsia="宋体"/>
                <w:color w:val="auto"/>
                <w:sz w:val="18"/>
                <w:szCs w:val="18"/>
              </w:rPr>
              <w:t>10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粉质粘土、砂质粘土、细</w:t>
            </w:r>
            <w:r>
              <w:rPr>
                <w:rFonts w:eastAsia="宋体"/>
                <w:color w:val="auto"/>
                <w:sz w:val="18"/>
                <w:szCs w:val="18"/>
              </w:rPr>
              <w:t>-</w:t>
            </w:r>
            <w:r>
              <w:rPr>
                <w:rFonts w:hAnsi="宋体" w:eastAsia="宋体"/>
                <w:color w:val="auto"/>
                <w:sz w:val="18"/>
                <w:szCs w:val="18"/>
              </w:rPr>
              <w:t>粉砂、粘土</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91" w:type="pct"/>
            <w:vMerge w:val="restart"/>
            <w:noWrap w:val="0"/>
            <w:vAlign w:val="center"/>
          </w:tcPr>
          <w:p>
            <w:pPr>
              <w:spacing w:line="240" w:lineRule="exact"/>
              <w:ind w:firstLine="360" w:firstLineChars="200"/>
              <w:jc w:val="center"/>
              <w:rPr>
                <w:rFonts w:eastAsia="宋体"/>
                <w:color w:val="auto"/>
                <w:sz w:val="18"/>
                <w:szCs w:val="18"/>
              </w:rPr>
            </w:pPr>
            <w:r>
              <w:rPr>
                <w:rFonts w:hint="eastAsia" w:eastAsia="宋体"/>
                <w:color w:val="auto"/>
                <w:sz w:val="18"/>
                <w:szCs w:val="18"/>
              </w:rPr>
              <w:t>晚</w:t>
            </w:r>
          </w:p>
          <w:p>
            <w:pPr>
              <w:spacing w:line="240" w:lineRule="exact"/>
              <w:ind w:firstLine="360" w:firstLineChars="200"/>
              <w:jc w:val="center"/>
              <w:rPr>
                <w:rFonts w:eastAsia="宋体"/>
                <w:color w:val="auto"/>
                <w:sz w:val="18"/>
                <w:szCs w:val="18"/>
              </w:rPr>
            </w:pPr>
            <w:r>
              <w:rPr>
                <w:rFonts w:hint="eastAsia" w:eastAsia="宋体"/>
                <w:color w:val="auto"/>
                <w:sz w:val="18"/>
                <w:szCs w:val="18"/>
              </w:rPr>
              <w:t>古</w:t>
            </w:r>
          </w:p>
          <w:p>
            <w:pPr>
              <w:spacing w:line="240" w:lineRule="exact"/>
              <w:ind w:firstLine="360" w:firstLineChars="200"/>
              <w:jc w:val="center"/>
              <w:rPr>
                <w:rFonts w:eastAsia="宋体"/>
                <w:color w:val="auto"/>
                <w:sz w:val="18"/>
                <w:szCs w:val="18"/>
              </w:rPr>
            </w:pPr>
            <w:r>
              <w:rPr>
                <w:rFonts w:hint="eastAsia" w:eastAsia="宋体"/>
                <w:color w:val="auto"/>
                <w:sz w:val="18"/>
                <w:szCs w:val="18"/>
              </w:rPr>
              <w:t>生</w:t>
            </w:r>
          </w:p>
          <w:p>
            <w:pPr>
              <w:spacing w:line="240" w:lineRule="exact"/>
              <w:ind w:firstLine="360" w:firstLineChars="200"/>
              <w:jc w:val="center"/>
              <w:rPr>
                <w:rFonts w:eastAsia="宋体"/>
                <w:color w:val="auto"/>
                <w:sz w:val="18"/>
                <w:szCs w:val="18"/>
              </w:rPr>
            </w:pPr>
            <w:r>
              <w:rPr>
                <w:rFonts w:hint="eastAsia" w:eastAsia="宋体"/>
                <w:color w:val="auto"/>
                <w:sz w:val="18"/>
                <w:szCs w:val="18"/>
              </w:rPr>
              <w:t>代</w:t>
            </w:r>
          </w:p>
        </w:tc>
        <w:tc>
          <w:tcPr>
            <w:tcW w:w="205" w:type="pct"/>
            <w:vMerge w:val="restart"/>
            <w:noWrap w:val="0"/>
            <w:vAlign w:val="center"/>
          </w:tcPr>
          <w:p>
            <w:pPr>
              <w:spacing w:line="240" w:lineRule="exact"/>
              <w:ind w:firstLine="0" w:firstLineChars="0"/>
              <w:jc w:val="center"/>
              <w:rPr>
                <w:rFonts w:eastAsia="宋体"/>
                <w:color w:val="auto"/>
                <w:sz w:val="18"/>
                <w:szCs w:val="18"/>
              </w:rPr>
            </w:pPr>
            <w:r>
              <w:rPr>
                <w:rFonts w:hint="eastAsia" w:eastAsia="宋体"/>
                <w:color w:val="auto"/>
                <w:sz w:val="18"/>
                <w:szCs w:val="18"/>
              </w:rPr>
              <w:t>寒武纪</w:t>
            </w:r>
          </w:p>
        </w:tc>
        <w:tc>
          <w:tcPr>
            <w:tcW w:w="225" w:type="pct"/>
            <w:vMerge w:val="restart"/>
            <w:noWrap w:val="0"/>
            <w:vAlign w:val="center"/>
          </w:tcPr>
          <w:p>
            <w:pPr>
              <w:spacing w:line="240" w:lineRule="exact"/>
              <w:ind w:firstLine="0" w:firstLineChars="0"/>
              <w:jc w:val="center"/>
              <w:rPr>
                <w:rFonts w:eastAsia="宋体"/>
                <w:color w:val="auto"/>
                <w:sz w:val="18"/>
                <w:szCs w:val="18"/>
              </w:rPr>
            </w:pPr>
            <w:r>
              <w:rPr>
                <w:rFonts w:hint="eastAsia" w:eastAsia="宋体"/>
                <w:color w:val="auto"/>
                <w:sz w:val="18"/>
                <w:szCs w:val="18"/>
              </w:rPr>
              <w:t>晚世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西阳山组</w:t>
            </w:r>
          </w:p>
        </w:tc>
        <w:tc>
          <w:tcPr>
            <w:tcW w:w="287" w:type="pct"/>
            <w:noWrap w:val="0"/>
            <w:vAlign w:val="center"/>
          </w:tcPr>
          <w:p>
            <w:pPr>
              <w:spacing w:line="240" w:lineRule="exact"/>
              <w:ind w:firstLine="0" w:firstLineChars="0"/>
              <w:jc w:val="center"/>
              <w:rPr>
                <w:rFonts w:eastAsia="宋体"/>
                <w:color w:val="auto"/>
                <w:sz w:val="18"/>
                <w:szCs w:val="18"/>
              </w:rPr>
            </w:pPr>
            <w:r>
              <w:rPr>
                <w:rFonts w:ascii="宋体" w:hAnsi="宋体" w:eastAsia="宋体"/>
                <w:color w:val="auto"/>
                <w:sz w:val="18"/>
                <w:szCs w:val="18"/>
              </w:rPr>
              <w:t>∈</w:t>
            </w:r>
            <w:r>
              <w:rPr>
                <w:rFonts w:eastAsia="宋体"/>
                <w:color w:val="auto"/>
                <w:sz w:val="18"/>
                <w:szCs w:val="18"/>
                <w:vertAlign w:val="subscript"/>
              </w:rPr>
              <w:t>3</w:t>
            </w:r>
            <w:r>
              <w:rPr>
                <w:rFonts w:eastAsia="宋体"/>
                <w:color w:val="auto"/>
                <w:sz w:val="18"/>
                <w:szCs w:val="18"/>
              </w:rPr>
              <w:t>x</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303</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钙质页岩、饼状灰岩</w:t>
            </w:r>
          </w:p>
        </w:tc>
        <w:tc>
          <w:tcPr>
            <w:tcW w:w="1449"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主要分布于</w:t>
            </w:r>
            <w:r>
              <w:rPr>
                <w:rFonts w:hint="eastAsia" w:hAnsi="宋体" w:eastAsia="宋体"/>
                <w:color w:val="auto"/>
                <w:sz w:val="18"/>
                <w:szCs w:val="18"/>
              </w:rPr>
              <w:t>西村、合村、胡村、同春、仙域山</w:t>
            </w:r>
            <w:r>
              <w:rPr>
                <w:rFonts w:hAnsi="宋体" w:eastAsia="宋体"/>
                <w:color w:val="auto"/>
                <w:sz w:val="18"/>
                <w:szCs w:val="18"/>
              </w:rPr>
              <w:t>等地，多呈长条状延伸。</w:t>
            </w:r>
            <w:r>
              <w:rPr>
                <w:rFonts w:hint="eastAsia" w:hAnsi="宋体" w:eastAsia="宋体"/>
                <w:color w:val="auto"/>
                <w:sz w:val="18"/>
                <w:szCs w:val="18"/>
              </w:rPr>
              <w:t>分布于低山、</w:t>
            </w:r>
            <w:r>
              <w:rPr>
                <w:rFonts w:hAnsi="宋体" w:eastAsia="宋体"/>
                <w:color w:val="auto"/>
                <w:sz w:val="18"/>
                <w:szCs w:val="18"/>
              </w:rPr>
              <w:t>丘陵</w:t>
            </w:r>
            <w:r>
              <w:rPr>
                <w:rFonts w:hint="eastAsia" w:hAnsi="宋体" w:eastAsia="宋体"/>
                <w:color w:val="auto"/>
                <w:sz w:val="18"/>
                <w:szCs w:val="18"/>
              </w:rPr>
              <w:t>区</w:t>
            </w:r>
            <w:r>
              <w:rPr>
                <w:rFonts w:hAnsi="宋体" w:eastAsia="宋体"/>
                <w:color w:val="auto"/>
                <w:sz w:val="18"/>
                <w:szCs w:val="18"/>
              </w:rPr>
              <w:t>，灰岩较发育，易发生地面塌陷；在构造破碎带、采石场、高陡边坡地带易发生崩塌、滑坡等地质灾害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华严寺组</w:t>
            </w:r>
          </w:p>
        </w:tc>
        <w:tc>
          <w:tcPr>
            <w:tcW w:w="287" w:type="pct"/>
            <w:noWrap w:val="0"/>
            <w:vAlign w:val="center"/>
          </w:tcPr>
          <w:p>
            <w:pPr>
              <w:spacing w:line="240" w:lineRule="exact"/>
              <w:ind w:firstLine="0" w:firstLineChars="0"/>
              <w:jc w:val="center"/>
              <w:rPr>
                <w:rFonts w:eastAsia="宋体"/>
                <w:color w:val="auto"/>
                <w:sz w:val="18"/>
                <w:szCs w:val="18"/>
              </w:rPr>
            </w:pPr>
            <w:r>
              <w:rPr>
                <w:rFonts w:ascii="宋体" w:hAnsi="宋体" w:eastAsia="宋体"/>
                <w:color w:val="auto"/>
                <w:sz w:val="18"/>
                <w:szCs w:val="18"/>
              </w:rPr>
              <w:t>∈</w:t>
            </w:r>
            <w:r>
              <w:rPr>
                <w:rFonts w:eastAsia="宋体"/>
                <w:color w:val="auto"/>
                <w:sz w:val="18"/>
                <w:szCs w:val="18"/>
                <w:vertAlign w:val="subscript"/>
              </w:rPr>
              <w:t>3</w:t>
            </w:r>
            <w:r>
              <w:rPr>
                <w:rFonts w:eastAsia="宋体"/>
                <w:color w:val="auto"/>
                <w:sz w:val="18"/>
                <w:szCs w:val="18"/>
              </w:rPr>
              <w:t>h</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204</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灰岩、泥灰岩夹钙质页岩</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noWrap w:val="0"/>
            <w:vAlign w:val="center"/>
          </w:tcPr>
          <w:p>
            <w:pPr>
              <w:spacing w:line="240" w:lineRule="exact"/>
              <w:ind w:firstLine="0" w:firstLineChars="0"/>
              <w:jc w:val="center"/>
              <w:rPr>
                <w:rFonts w:eastAsia="宋体"/>
                <w:color w:val="auto"/>
                <w:sz w:val="18"/>
                <w:szCs w:val="18"/>
              </w:rPr>
            </w:pPr>
            <w:r>
              <w:rPr>
                <w:rFonts w:hint="eastAsia" w:eastAsia="宋体"/>
                <w:color w:val="auto"/>
                <w:sz w:val="18"/>
                <w:szCs w:val="18"/>
              </w:rPr>
              <w:t>中世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杨柳岗组</w:t>
            </w:r>
          </w:p>
        </w:tc>
        <w:tc>
          <w:tcPr>
            <w:tcW w:w="287" w:type="pct"/>
            <w:noWrap w:val="0"/>
            <w:vAlign w:val="center"/>
          </w:tcPr>
          <w:p>
            <w:pPr>
              <w:spacing w:line="240" w:lineRule="exact"/>
              <w:ind w:firstLine="0" w:firstLineChars="0"/>
              <w:jc w:val="center"/>
              <w:rPr>
                <w:rFonts w:eastAsia="宋体"/>
                <w:color w:val="auto"/>
                <w:sz w:val="18"/>
                <w:szCs w:val="18"/>
              </w:rPr>
            </w:pPr>
            <w:r>
              <w:rPr>
                <w:rFonts w:ascii="宋体" w:hAnsi="宋体" w:eastAsia="宋体"/>
                <w:color w:val="auto"/>
                <w:sz w:val="18"/>
                <w:szCs w:val="18"/>
              </w:rPr>
              <w:t>∈</w:t>
            </w:r>
            <w:r>
              <w:rPr>
                <w:rFonts w:eastAsia="宋体"/>
                <w:color w:val="auto"/>
                <w:sz w:val="18"/>
                <w:szCs w:val="18"/>
                <w:vertAlign w:val="subscript"/>
              </w:rPr>
              <w:t>2</w:t>
            </w:r>
            <w:r>
              <w:rPr>
                <w:rFonts w:eastAsia="宋体"/>
                <w:color w:val="auto"/>
                <w:sz w:val="18"/>
                <w:szCs w:val="18"/>
              </w:rPr>
              <w:t>y</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87</w:t>
            </w:r>
            <w:r>
              <w:rPr>
                <w:rFonts w:hAnsi="宋体" w:eastAsia="宋体"/>
                <w:color w:val="auto"/>
                <w:sz w:val="18"/>
                <w:szCs w:val="18"/>
              </w:rPr>
              <w:t>～</w:t>
            </w:r>
            <w:r>
              <w:rPr>
                <w:rFonts w:eastAsia="宋体"/>
                <w:color w:val="auto"/>
                <w:sz w:val="18"/>
                <w:szCs w:val="18"/>
              </w:rPr>
              <w:t>388</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灰、深灰色薄层白云质泥质灰岩夹钙质页岩，饼条状灰岩等</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restart"/>
            <w:noWrap w:val="0"/>
            <w:vAlign w:val="center"/>
          </w:tcPr>
          <w:p>
            <w:pPr>
              <w:spacing w:line="240" w:lineRule="exact"/>
              <w:ind w:firstLine="0" w:firstLineChars="0"/>
              <w:jc w:val="center"/>
              <w:rPr>
                <w:rFonts w:eastAsia="宋体"/>
                <w:color w:val="auto"/>
                <w:sz w:val="18"/>
                <w:szCs w:val="18"/>
              </w:rPr>
            </w:pPr>
            <w:r>
              <w:rPr>
                <w:rFonts w:hint="eastAsia" w:eastAsia="宋体"/>
                <w:color w:val="auto"/>
                <w:sz w:val="18"/>
                <w:szCs w:val="18"/>
              </w:rPr>
              <w:t>早世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大陈岭组</w:t>
            </w:r>
          </w:p>
        </w:tc>
        <w:tc>
          <w:tcPr>
            <w:tcW w:w="287" w:type="pct"/>
            <w:noWrap w:val="0"/>
            <w:vAlign w:val="center"/>
          </w:tcPr>
          <w:p>
            <w:pPr>
              <w:spacing w:line="240" w:lineRule="exact"/>
              <w:ind w:firstLine="0" w:firstLineChars="0"/>
              <w:jc w:val="center"/>
              <w:rPr>
                <w:rFonts w:eastAsia="宋体"/>
                <w:color w:val="auto"/>
                <w:sz w:val="18"/>
                <w:szCs w:val="18"/>
              </w:rPr>
            </w:pPr>
            <w:r>
              <w:rPr>
                <w:rFonts w:ascii="宋体" w:hAnsi="宋体" w:eastAsia="宋体"/>
                <w:color w:val="auto"/>
                <w:sz w:val="18"/>
                <w:szCs w:val="18"/>
              </w:rPr>
              <w:t>∈</w:t>
            </w:r>
            <w:r>
              <w:rPr>
                <w:rFonts w:eastAsia="宋体"/>
                <w:color w:val="auto"/>
                <w:sz w:val="18"/>
                <w:szCs w:val="18"/>
                <w:vertAlign w:val="subscript"/>
              </w:rPr>
              <w:t>1</w:t>
            </w:r>
            <w:r>
              <w:rPr>
                <w:rFonts w:eastAsia="宋体"/>
                <w:color w:val="auto"/>
                <w:sz w:val="18"/>
                <w:szCs w:val="18"/>
              </w:rPr>
              <w:t>d</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75</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灰色条纹泥晶灰岩，局部夹白云质护眼透镜体</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荷塘组</w:t>
            </w:r>
          </w:p>
        </w:tc>
        <w:tc>
          <w:tcPr>
            <w:tcW w:w="287" w:type="pct"/>
            <w:noWrap w:val="0"/>
            <w:vAlign w:val="center"/>
          </w:tcPr>
          <w:p>
            <w:pPr>
              <w:spacing w:line="240" w:lineRule="exact"/>
              <w:ind w:firstLine="0" w:firstLineChars="0"/>
              <w:jc w:val="center"/>
              <w:rPr>
                <w:rFonts w:eastAsia="宋体"/>
                <w:color w:val="auto"/>
                <w:sz w:val="18"/>
                <w:szCs w:val="18"/>
              </w:rPr>
            </w:pPr>
            <w:r>
              <w:rPr>
                <w:rFonts w:ascii="宋体" w:hAnsi="宋体" w:eastAsia="宋体"/>
                <w:color w:val="auto"/>
                <w:sz w:val="18"/>
                <w:szCs w:val="18"/>
              </w:rPr>
              <w:t>∈</w:t>
            </w:r>
            <w:r>
              <w:rPr>
                <w:rFonts w:eastAsia="宋体"/>
                <w:color w:val="auto"/>
                <w:sz w:val="18"/>
                <w:szCs w:val="18"/>
                <w:vertAlign w:val="subscript"/>
              </w:rPr>
              <w:t>1</w:t>
            </w:r>
            <w:r>
              <w:rPr>
                <w:rFonts w:eastAsia="宋体"/>
                <w:color w:val="auto"/>
                <w:sz w:val="18"/>
                <w:szCs w:val="18"/>
              </w:rPr>
              <w:t>ht</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50</w:t>
            </w:r>
            <w:r>
              <w:rPr>
                <w:rFonts w:hAnsi="宋体" w:eastAsia="宋体"/>
                <w:color w:val="auto"/>
                <w:sz w:val="18"/>
                <w:szCs w:val="18"/>
              </w:rPr>
              <w:t>～</w:t>
            </w:r>
            <w:r>
              <w:rPr>
                <w:rFonts w:eastAsia="宋体"/>
                <w:color w:val="auto"/>
                <w:sz w:val="18"/>
                <w:szCs w:val="18"/>
              </w:rPr>
              <w:t>350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黄绿色页岩、泥岩、灰黑色炭质页岩石煤层</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exact"/>
          <w:jc w:val="center"/>
        </w:trPr>
        <w:tc>
          <w:tcPr>
            <w:tcW w:w="191" w:type="pct"/>
            <w:vMerge w:val="restart"/>
            <w:noWrap w:val="0"/>
            <w:vAlign w:val="center"/>
          </w:tcPr>
          <w:p>
            <w:pPr>
              <w:spacing w:line="240" w:lineRule="exact"/>
              <w:ind w:firstLine="360" w:firstLineChars="200"/>
              <w:jc w:val="center"/>
              <w:rPr>
                <w:rFonts w:eastAsia="宋体"/>
                <w:color w:val="auto"/>
                <w:sz w:val="18"/>
                <w:szCs w:val="18"/>
              </w:rPr>
            </w:pPr>
            <w:r>
              <w:rPr>
                <w:rFonts w:hAnsi="宋体" w:eastAsia="宋体"/>
                <w:color w:val="auto"/>
                <w:sz w:val="18"/>
                <w:szCs w:val="18"/>
              </w:rPr>
              <w:t>晚</w:t>
            </w:r>
          </w:p>
          <w:p>
            <w:pPr>
              <w:spacing w:line="240" w:lineRule="exact"/>
              <w:ind w:firstLine="360" w:firstLineChars="200"/>
              <w:jc w:val="center"/>
              <w:rPr>
                <w:rFonts w:eastAsia="宋体"/>
                <w:color w:val="auto"/>
                <w:sz w:val="18"/>
                <w:szCs w:val="18"/>
              </w:rPr>
            </w:pPr>
            <w:r>
              <w:rPr>
                <w:rFonts w:hAnsi="宋体" w:eastAsia="宋体"/>
                <w:color w:val="auto"/>
                <w:sz w:val="18"/>
                <w:szCs w:val="18"/>
              </w:rPr>
              <w:t>元</w:t>
            </w:r>
          </w:p>
          <w:p>
            <w:pPr>
              <w:spacing w:line="240" w:lineRule="exact"/>
              <w:ind w:firstLine="360" w:firstLineChars="200"/>
              <w:jc w:val="center"/>
              <w:rPr>
                <w:rFonts w:hAnsi="宋体" w:eastAsia="宋体"/>
                <w:color w:val="auto"/>
                <w:sz w:val="18"/>
                <w:szCs w:val="18"/>
              </w:rPr>
            </w:pPr>
            <w:r>
              <w:rPr>
                <w:rFonts w:hAnsi="宋体" w:eastAsia="宋体"/>
                <w:color w:val="auto"/>
                <w:sz w:val="18"/>
                <w:szCs w:val="18"/>
              </w:rPr>
              <w:t>古</w:t>
            </w:r>
          </w:p>
          <w:p>
            <w:pPr>
              <w:spacing w:line="240" w:lineRule="exact"/>
              <w:ind w:firstLine="360" w:firstLineChars="200"/>
              <w:jc w:val="center"/>
              <w:rPr>
                <w:rFonts w:eastAsia="宋体"/>
                <w:color w:val="auto"/>
                <w:sz w:val="18"/>
                <w:szCs w:val="18"/>
              </w:rPr>
            </w:pPr>
            <w:r>
              <w:rPr>
                <w:rFonts w:hAnsi="宋体" w:eastAsia="宋体"/>
                <w:color w:val="auto"/>
                <w:sz w:val="18"/>
                <w:szCs w:val="18"/>
              </w:rPr>
              <w:t>代</w:t>
            </w:r>
          </w:p>
        </w:tc>
        <w:tc>
          <w:tcPr>
            <w:tcW w:w="205"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震旦纪</w:t>
            </w:r>
          </w:p>
        </w:tc>
        <w:tc>
          <w:tcPr>
            <w:tcW w:w="225"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晚世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皮园村组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Z</w:t>
            </w:r>
            <w:r>
              <w:rPr>
                <w:rFonts w:eastAsia="宋体"/>
                <w:color w:val="auto"/>
                <w:sz w:val="18"/>
                <w:szCs w:val="18"/>
                <w:vertAlign w:val="subscript"/>
              </w:rPr>
              <w:t>2</w:t>
            </w:r>
            <w:r>
              <w:rPr>
                <w:rFonts w:ascii="宋体" w:hAnsi="宋体" w:eastAsia="宋体"/>
                <w:color w:val="auto"/>
                <w:sz w:val="18"/>
                <w:szCs w:val="18"/>
              </w:rPr>
              <w:t>∈</w:t>
            </w:r>
            <w:r>
              <w:rPr>
                <w:rFonts w:eastAsia="宋体"/>
                <w:color w:val="auto"/>
                <w:sz w:val="18"/>
                <w:szCs w:val="18"/>
                <w:vertAlign w:val="subscript"/>
              </w:rPr>
              <w:t>1</w:t>
            </w:r>
            <w:r>
              <w:rPr>
                <w:rFonts w:eastAsia="宋体"/>
                <w:color w:val="auto"/>
                <w:sz w:val="18"/>
                <w:szCs w:val="18"/>
              </w:rPr>
              <w:t>p</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&gt;200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硅质岩、硅质泥岩夹硅质白云岩、砂岩</w:t>
            </w:r>
          </w:p>
        </w:tc>
        <w:tc>
          <w:tcPr>
            <w:tcW w:w="1449" w:type="pct"/>
            <w:vMerge w:val="restart"/>
            <w:noWrap w:val="0"/>
            <w:vAlign w:val="center"/>
          </w:tcPr>
          <w:p>
            <w:pPr>
              <w:spacing w:line="240" w:lineRule="exact"/>
              <w:ind w:firstLine="360" w:firstLineChars="200"/>
              <w:jc w:val="center"/>
              <w:rPr>
                <w:rFonts w:eastAsia="宋体"/>
                <w:color w:val="auto"/>
                <w:sz w:val="18"/>
                <w:szCs w:val="18"/>
              </w:rPr>
            </w:pPr>
            <w:r>
              <w:rPr>
                <w:rFonts w:hAnsi="宋体" w:eastAsia="宋体"/>
                <w:color w:val="auto"/>
                <w:sz w:val="18"/>
                <w:szCs w:val="18"/>
              </w:rPr>
              <w:t>分布于青山乡、昭潭镇、泥溪镇、香隅镇、尧渡镇、葛公镇等地，多组成中低山、丘陵。在构造破碎带、采石场及高陡边坡地带易发生崩滑流等地质灾害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蓝田组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Z</w:t>
            </w:r>
            <w:r>
              <w:rPr>
                <w:rFonts w:eastAsia="宋体"/>
                <w:color w:val="auto"/>
                <w:sz w:val="18"/>
                <w:szCs w:val="18"/>
                <w:vertAlign w:val="subscript"/>
              </w:rPr>
              <w:t>2</w:t>
            </w:r>
            <w:r>
              <w:rPr>
                <w:rFonts w:eastAsia="宋体"/>
                <w:color w:val="auto"/>
                <w:sz w:val="18"/>
                <w:szCs w:val="18"/>
              </w:rPr>
              <w:t>l</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&gt;100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白云质灰岩、灰岩、页岩等</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早世</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南沱组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Z</w:t>
            </w:r>
            <w:r>
              <w:rPr>
                <w:rFonts w:eastAsia="宋体"/>
                <w:color w:val="auto"/>
                <w:sz w:val="18"/>
                <w:szCs w:val="18"/>
                <w:vertAlign w:val="subscript"/>
              </w:rPr>
              <w:t>1</w:t>
            </w:r>
            <w:r>
              <w:rPr>
                <w:rFonts w:eastAsia="宋体"/>
                <w:color w:val="auto"/>
                <w:sz w:val="18"/>
                <w:szCs w:val="18"/>
              </w:rPr>
              <w:t>n</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61</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深灰、灰绿色含砾凝灰岩、薄层状砂岩等</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休宁组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Z</w:t>
            </w:r>
            <w:r>
              <w:rPr>
                <w:rFonts w:eastAsia="宋体"/>
                <w:color w:val="auto"/>
                <w:sz w:val="18"/>
                <w:szCs w:val="18"/>
                <w:vertAlign w:val="subscript"/>
              </w:rPr>
              <w:t>1</w:t>
            </w:r>
            <w:r>
              <w:rPr>
                <w:rFonts w:eastAsia="宋体"/>
                <w:color w:val="auto"/>
                <w:sz w:val="18"/>
                <w:szCs w:val="18"/>
              </w:rPr>
              <w:t>x</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1131.26</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灰绿紫红色中</w:t>
            </w:r>
            <w:r>
              <w:rPr>
                <w:rFonts w:eastAsia="宋体"/>
                <w:color w:val="auto"/>
                <w:sz w:val="18"/>
                <w:szCs w:val="18"/>
              </w:rPr>
              <w:t>-</w:t>
            </w:r>
            <w:r>
              <w:rPr>
                <w:rFonts w:hAnsi="宋体" w:eastAsia="宋体"/>
                <w:color w:val="auto"/>
                <w:sz w:val="18"/>
                <w:szCs w:val="18"/>
              </w:rPr>
              <w:t>厚层细砂岩、角砾岩、含砾粗粒岩等</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雷公坞组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Z</w:t>
            </w:r>
            <w:r>
              <w:rPr>
                <w:rFonts w:eastAsia="宋体"/>
                <w:color w:val="auto"/>
                <w:sz w:val="18"/>
                <w:szCs w:val="18"/>
                <w:vertAlign w:val="subscript"/>
              </w:rPr>
              <w:t>1</w:t>
            </w:r>
            <w:r>
              <w:rPr>
                <w:rFonts w:eastAsia="宋体"/>
                <w:color w:val="auto"/>
                <w:sz w:val="18"/>
                <w:szCs w:val="18"/>
              </w:rPr>
              <w:t>l</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13</w:t>
            </w:r>
            <w:r>
              <w:rPr>
                <w:rFonts w:hAnsi="宋体" w:eastAsia="宋体"/>
                <w:color w:val="auto"/>
                <w:sz w:val="18"/>
                <w:szCs w:val="18"/>
              </w:rPr>
              <w:t>～</w:t>
            </w:r>
            <w:r>
              <w:rPr>
                <w:rFonts w:eastAsia="宋体"/>
                <w:color w:val="auto"/>
                <w:sz w:val="18"/>
                <w:szCs w:val="18"/>
              </w:rPr>
              <w:t>50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含砾泥岩、砂岩、流纹质凝灰岩</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restart"/>
            <w:noWrap w:val="0"/>
            <w:vAlign w:val="center"/>
          </w:tcPr>
          <w:p>
            <w:pPr>
              <w:spacing w:line="240" w:lineRule="exact"/>
              <w:ind w:firstLine="360" w:firstLineChars="200"/>
              <w:jc w:val="center"/>
              <w:rPr>
                <w:rFonts w:eastAsia="宋体"/>
                <w:color w:val="auto"/>
                <w:sz w:val="18"/>
                <w:szCs w:val="18"/>
              </w:rPr>
            </w:pPr>
            <w:r>
              <w:rPr>
                <w:rFonts w:hAnsi="宋体" w:eastAsia="宋体"/>
                <w:color w:val="auto"/>
                <w:sz w:val="18"/>
                <w:szCs w:val="18"/>
              </w:rPr>
              <w:t>青白</w:t>
            </w:r>
          </w:p>
          <w:p>
            <w:pPr>
              <w:spacing w:line="240" w:lineRule="exact"/>
              <w:ind w:firstLine="360" w:firstLineChars="200"/>
              <w:jc w:val="center"/>
              <w:rPr>
                <w:rFonts w:eastAsia="宋体"/>
                <w:color w:val="auto"/>
                <w:sz w:val="18"/>
                <w:szCs w:val="18"/>
              </w:rPr>
            </w:pPr>
            <w:r>
              <w:rPr>
                <w:rFonts w:hAnsi="宋体" w:eastAsia="宋体"/>
                <w:color w:val="auto"/>
                <w:sz w:val="18"/>
                <w:szCs w:val="18"/>
              </w:rPr>
              <w:t>口纪</w:t>
            </w:r>
          </w:p>
        </w:tc>
        <w:tc>
          <w:tcPr>
            <w:tcW w:w="225"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历口群</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铺岭组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Qnp</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112</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灰绿、灰紫色千枚状安山质凝灰岩，绿泥石化杏仁状安山岩互层</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邓家组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Qnd</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220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灰绿、灰白色细砾岩、含砾粗粒石英砂岩、板岩及粉砂岩</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小安里组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Qnx</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29</w:t>
            </w:r>
            <w:r>
              <w:rPr>
                <w:rFonts w:hAnsi="宋体" w:eastAsia="宋体"/>
                <w:color w:val="auto"/>
                <w:sz w:val="18"/>
                <w:szCs w:val="18"/>
              </w:rPr>
              <w:t>～</w:t>
            </w:r>
            <w:r>
              <w:rPr>
                <w:rFonts w:eastAsia="宋体"/>
                <w:color w:val="auto"/>
                <w:sz w:val="18"/>
                <w:szCs w:val="18"/>
              </w:rPr>
              <w:t>238</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岩屑砂岩、变质石英砂岩夹变质粉砂岩</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葛公镇组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Qng</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180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变质含砾粗粒石英砂岩、板岩及粉砂岩</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exact"/>
          <w:jc w:val="center"/>
        </w:trPr>
        <w:tc>
          <w:tcPr>
            <w:tcW w:w="191" w:type="pct"/>
            <w:vMerge w:val="restart"/>
            <w:noWrap w:val="0"/>
            <w:vAlign w:val="center"/>
          </w:tcPr>
          <w:p>
            <w:pPr>
              <w:spacing w:line="240" w:lineRule="exact"/>
              <w:ind w:firstLine="360" w:firstLineChars="200"/>
              <w:jc w:val="center"/>
              <w:rPr>
                <w:rFonts w:eastAsia="宋体"/>
                <w:color w:val="auto"/>
                <w:sz w:val="18"/>
                <w:szCs w:val="18"/>
              </w:rPr>
            </w:pPr>
            <w:r>
              <w:rPr>
                <w:rFonts w:hAnsi="宋体" w:eastAsia="宋体"/>
                <w:color w:val="auto"/>
                <w:sz w:val="18"/>
                <w:szCs w:val="18"/>
              </w:rPr>
              <w:t>中元</w:t>
            </w:r>
          </w:p>
          <w:p>
            <w:pPr>
              <w:spacing w:line="240" w:lineRule="exact"/>
              <w:ind w:firstLine="360" w:firstLineChars="200"/>
              <w:jc w:val="center"/>
              <w:rPr>
                <w:rFonts w:eastAsia="宋体"/>
                <w:color w:val="auto"/>
                <w:sz w:val="18"/>
                <w:szCs w:val="18"/>
              </w:rPr>
            </w:pPr>
            <w:r>
              <w:rPr>
                <w:rFonts w:hAnsi="宋体" w:eastAsia="宋体"/>
                <w:color w:val="auto"/>
                <w:sz w:val="18"/>
                <w:szCs w:val="18"/>
              </w:rPr>
              <w:t>古代</w:t>
            </w:r>
          </w:p>
        </w:tc>
        <w:tc>
          <w:tcPr>
            <w:tcW w:w="205" w:type="pct"/>
            <w:vMerge w:val="restart"/>
            <w:noWrap w:val="0"/>
            <w:vAlign w:val="center"/>
          </w:tcPr>
          <w:p>
            <w:pPr>
              <w:spacing w:line="240" w:lineRule="exact"/>
              <w:ind w:firstLine="0" w:firstLineChars="0"/>
              <w:jc w:val="center"/>
              <w:rPr>
                <w:rFonts w:eastAsia="宋体"/>
                <w:color w:val="auto"/>
                <w:sz w:val="18"/>
                <w:szCs w:val="18"/>
              </w:rPr>
            </w:pPr>
          </w:p>
        </w:tc>
        <w:tc>
          <w:tcPr>
            <w:tcW w:w="225"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溪口群</w:t>
            </w: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牛屋组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Pt</w:t>
            </w:r>
            <w:r>
              <w:rPr>
                <w:rFonts w:eastAsia="宋体"/>
                <w:color w:val="auto"/>
                <w:sz w:val="18"/>
                <w:szCs w:val="18"/>
                <w:vertAlign w:val="subscript"/>
              </w:rPr>
              <w:t>2</w:t>
            </w:r>
            <w:r>
              <w:rPr>
                <w:rFonts w:eastAsia="宋体"/>
                <w:color w:val="auto"/>
                <w:sz w:val="18"/>
                <w:szCs w:val="18"/>
              </w:rPr>
              <w:t>n</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&gt;1500</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轻变质岩屑砂岩、粉砂岩、砂质泥岩组成韵律层</w:t>
            </w:r>
          </w:p>
        </w:tc>
        <w:tc>
          <w:tcPr>
            <w:tcW w:w="1449" w:type="pct"/>
            <w:vMerge w:val="restar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分布于尧渡镇、葛公镇及尧渡镇以南大部分地区，多组成中低山、丘陵，岩石节理发育、破碎、易风化，易发生崩滑流等地质灾害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exact"/>
          <w:jc w:val="center"/>
        </w:trPr>
        <w:tc>
          <w:tcPr>
            <w:tcW w:w="191" w:type="pct"/>
            <w:vMerge w:val="continue"/>
            <w:noWrap w:val="0"/>
            <w:vAlign w:val="center"/>
          </w:tcPr>
          <w:p>
            <w:pPr>
              <w:spacing w:line="240" w:lineRule="exact"/>
              <w:ind w:firstLine="0" w:firstLineChars="0"/>
              <w:jc w:val="center"/>
              <w:rPr>
                <w:rFonts w:eastAsia="宋体"/>
                <w:color w:val="auto"/>
                <w:sz w:val="18"/>
                <w:szCs w:val="18"/>
              </w:rPr>
            </w:pPr>
          </w:p>
        </w:tc>
        <w:tc>
          <w:tcPr>
            <w:tcW w:w="205" w:type="pct"/>
            <w:vMerge w:val="continue"/>
            <w:noWrap w:val="0"/>
            <w:vAlign w:val="center"/>
          </w:tcPr>
          <w:p>
            <w:pPr>
              <w:spacing w:line="240" w:lineRule="exact"/>
              <w:ind w:firstLine="0" w:firstLineChars="0"/>
              <w:jc w:val="center"/>
              <w:rPr>
                <w:rFonts w:eastAsia="宋体"/>
                <w:color w:val="auto"/>
                <w:sz w:val="18"/>
                <w:szCs w:val="18"/>
              </w:rPr>
            </w:pPr>
          </w:p>
        </w:tc>
        <w:tc>
          <w:tcPr>
            <w:tcW w:w="225" w:type="pct"/>
            <w:vMerge w:val="continue"/>
            <w:noWrap w:val="0"/>
            <w:vAlign w:val="center"/>
          </w:tcPr>
          <w:p>
            <w:pPr>
              <w:spacing w:line="240" w:lineRule="exact"/>
              <w:ind w:firstLine="0" w:firstLineChars="0"/>
              <w:jc w:val="center"/>
              <w:rPr>
                <w:rFonts w:eastAsia="宋体"/>
                <w:color w:val="auto"/>
                <w:sz w:val="18"/>
                <w:szCs w:val="18"/>
              </w:rPr>
            </w:pPr>
          </w:p>
        </w:tc>
        <w:tc>
          <w:tcPr>
            <w:tcW w:w="65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环沙组</w:t>
            </w:r>
          </w:p>
        </w:tc>
        <w:tc>
          <w:tcPr>
            <w:tcW w:w="287"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Pt</w:t>
            </w:r>
            <w:r>
              <w:rPr>
                <w:rFonts w:eastAsia="宋体"/>
                <w:color w:val="auto"/>
                <w:sz w:val="18"/>
                <w:szCs w:val="18"/>
                <w:vertAlign w:val="subscript"/>
              </w:rPr>
              <w:t>2</w:t>
            </w:r>
            <w:r>
              <w:rPr>
                <w:rFonts w:eastAsia="宋体"/>
                <w:color w:val="auto"/>
                <w:sz w:val="18"/>
                <w:szCs w:val="18"/>
              </w:rPr>
              <w:t>h</w:t>
            </w:r>
          </w:p>
        </w:tc>
        <w:tc>
          <w:tcPr>
            <w:tcW w:w="471" w:type="pct"/>
            <w:noWrap w:val="0"/>
            <w:vAlign w:val="center"/>
          </w:tcPr>
          <w:p>
            <w:pPr>
              <w:spacing w:line="240" w:lineRule="exact"/>
              <w:ind w:firstLine="0" w:firstLineChars="0"/>
              <w:jc w:val="center"/>
              <w:rPr>
                <w:rFonts w:eastAsia="宋体"/>
                <w:color w:val="auto"/>
                <w:sz w:val="18"/>
                <w:szCs w:val="18"/>
              </w:rPr>
            </w:pPr>
            <w:r>
              <w:rPr>
                <w:rFonts w:eastAsia="宋体"/>
                <w:color w:val="auto"/>
                <w:sz w:val="18"/>
                <w:szCs w:val="18"/>
              </w:rPr>
              <w:t>4607</w:t>
            </w:r>
          </w:p>
        </w:tc>
        <w:tc>
          <w:tcPr>
            <w:tcW w:w="1516" w:type="pct"/>
            <w:noWrap w:val="0"/>
            <w:vAlign w:val="center"/>
          </w:tcPr>
          <w:p>
            <w:pPr>
              <w:spacing w:line="240" w:lineRule="exact"/>
              <w:ind w:firstLine="0" w:firstLineChars="0"/>
              <w:jc w:val="center"/>
              <w:rPr>
                <w:rFonts w:eastAsia="宋体"/>
                <w:color w:val="auto"/>
                <w:sz w:val="18"/>
                <w:szCs w:val="18"/>
              </w:rPr>
            </w:pPr>
            <w:r>
              <w:rPr>
                <w:rFonts w:hAnsi="宋体" w:eastAsia="宋体"/>
                <w:color w:val="auto"/>
                <w:sz w:val="18"/>
                <w:szCs w:val="18"/>
              </w:rPr>
              <w:t>灰绿色千枚状砂岩、砂质千枚岩、泥岩组成韵律层</w:t>
            </w:r>
          </w:p>
        </w:tc>
        <w:tc>
          <w:tcPr>
            <w:tcW w:w="1449" w:type="pct"/>
            <w:vMerge w:val="continue"/>
            <w:noWrap w:val="0"/>
            <w:vAlign w:val="center"/>
          </w:tcPr>
          <w:p>
            <w:pPr>
              <w:spacing w:line="240" w:lineRule="exact"/>
              <w:ind w:firstLine="0" w:firstLineChars="0"/>
              <w:jc w:val="center"/>
              <w:rPr>
                <w:rFonts w:eastAsia="宋体"/>
                <w:color w:val="auto"/>
                <w:sz w:val="18"/>
                <w:szCs w:val="18"/>
              </w:rPr>
            </w:pPr>
          </w:p>
        </w:tc>
      </w:tr>
    </w:tbl>
    <w:p>
      <w:pPr>
        <w:ind w:firstLine="480"/>
        <w:rPr>
          <w:color w:val="auto"/>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ind w:firstLine="422" w:firstLineChars="200"/>
        <w:jc w:val="center"/>
        <w:rPr>
          <w:rFonts w:hint="eastAsia" w:eastAsia="宋体"/>
          <w:b/>
          <w:color w:val="auto"/>
          <w:lang w:eastAsia="zh-CN"/>
        </w:rPr>
      </w:pPr>
      <w:r>
        <w:rPr>
          <w:rFonts w:hint="eastAsia" w:eastAsia="宋体"/>
          <w:b/>
          <w:color w:val="auto"/>
          <w:lang w:eastAsia="zh-CN"/>
        </w:rPr>
        <w:drawing>
          <wp:inline distT="0" distB="0" distL="114300" distR="114300">
            <wp:extent cx="8003540" cy="11697335"/>
            <wp:effectExtent l="0" t="0" r="16510" b="18415"/>
            <wp:docPr id="1" name="图片 1" descr="地质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地质图"/>
                    <pic:cNvPicPr>
                      <a:picLocks noChangeAspect="1"/>
                    </pic:cNvPicPr>
                  </pic:nvPicPr>
                  <pic:blipFill>
                    <a:blip r:embed="rId19"/>
                    <a:srcRect t="2148" b="1869"/>
                    <a:stretch>
                      <a:fillRect/>
                    </a:stretch>
                  </pic:blipFill>
                  <pic:spPr>
                    <a:xfrm>
                      <a:off x="0" y="0"/>
                      <a:ext cx="8003540" cy="11697335"/>
                    </a:xfrm>
                    <a:prstGeom prst="rect">
                      <a:avLst/>
                    </a:prstGeom>
                    <a:noFill/>
                    <a:ln>
                      <a:noFill/>
                    </a:ln>
                  </pic:spPr>
                </pic:pic>
              </a:graphicData>
            </a:graphic>
          </wp:inline>
        </w:drawing>
      </w:r>
    </w:p>
    <w:p>
      <w:pPr>
        <w:spacing w:line="360" w:lineRule="auto"/>
        <w:ind w:firstLine="560" w:firstLineChars="200"/>
        <w:jc w:val="center"/>
        <w:rPr>
          <w:rFonts w:hint="eastAsia" w:ascii="宋体" w:hAnsi="宋体"/>
          <w:color w:val="auto"/>
          <w:sz w:val="28"/>
          <w:szCs w:val="28"/>
        </w:rPr>
      </w:pPr>
      <w:r>
        <w:rPr>
          <w:rFonts w:hint="eastAsia" w:ascii="宋体" w:hAnsi="宋体"/>
          <w:color w:val="auto"/>
          <w:sz w:val="28"/>
          <w:szCs w:val="28"/>
        </w:rPr>
        <w:t xml:space="preserve">图3-4   </w:t>
      </w:r>
      <w:r>
        <w:rPr>
          <w:rFonts w:hint="eastAsia" w:ascii="宋体" w:hAnsi="宋体"/>
          <w:color w:val="auto"/>
          <w:sz w:val="28"/>
          <w:szCs w:val="28"/>
          <w:lang w:val="en-US" w:eastAsia="zh-CN"/>
        </w:rPr>
        <w:t>东至县</w:t>
      </w:r>
      <w:r>
        <w:rPr>
          <w:rFonts w:hint="eastAsia" w:ascii="宋体" w:hAnsi="宋体"/>
          <w:color w:val="auto"/>
          <w:sz w:val="28"/>
          <w:szCs w:val="28"/>
        </w:rPr>
        <w:t>地质图</w:t>
      </w:r>
    </w:p>
    <w:p>
      <w:pPr>
        <w:rPr>
          <w:rFonts w:hint="eastAsia" w:eastAsia="宋体"/>
          <w:b/>
          <w:color w:val="auto"/>
          <w:lang w:eastAsia="zh-CN"/>
        </w:rPr>
        <w:sectPr>
          <w:footerReference r:id="rId13" w:type="default"/>
          <w:pgSz w:w="16783" w:h="23757"/>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 xml:space="preserve">3）构造 </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区内地质构造单元属长期隆起的扬子准地台区（Ⅰ级地质构造单元），横跨下扬子台坳与江南台隆两个Ⅱ级地质构造单元。区内经过多期次的构造运动，褶皱、断裂构造较发育。区内褶皱主要有葛公—黄龙尖复背斜</w:t>
      </w:r>
      <w:r>
        <w:rPr>
          <w:rFonts w:hint="eastAsia" w:ascii="仿宋" w:hAnsi="仿宋" w:eastAsia="仿宋"/>
          <w:color w:val="auto"/>
          <w:sz w:val="30"/>
          <w:szCs w:val="30"/>
          <w:lang w:eastAsia="zh-CN"/>
        </w:rPr>
        <w:t>、</w:t>
      </w:r>
      <w:r>
        <w:rPr>
          <w:rFonts w:hint="eastAsia" w:ascii="仿宋" w:hAnsi="仿宋" w:eastAsia="仿宋"/>
          <w:color w:val="auto"/>
          <w:sz w:val="30"/>
          <w:szCs w:val="30"/>
        </w:rPr>
        <w:t>太平复向斜</w:t>
      </w:r>
      <w:r>
        <w:rPr>
          <w:rFonts w:hint="eastAsia" w:ascii="仿宋" w:hAnsi="仿宋" w:eastAsia="仿宋"/>
          <w:color w:val="auto"/>
          <w:sz w:val="30"/>
          <w:szCs w:val="30"/>
          <w:lang w:eastAsia="zh-CN"/>
        </w:rPr>
        <w:t>、</w:t>
      </w:r>
      <w:r>
        <w:rPr>
          <w:rFonts w:hint="eastAsia" w:ascii="仿宋" w:hAnsi="仿宋" w:eastAsia="仿宋"/>
          <w:color w:val="auto"/>
          <w:sz w:val="30"/>
          <w:szCs w:val="30"/>
        </w:rPr>
        <w:t>七都复背斜</w:t>
      </w:r>
      <w:r>
        <w:rPr>
          <w:rFonts w:hint="eastAsia" w:ascii="仿宋" w:hAnsi="仿宋" w:eastAsia="仿宋"/>
          <w:color w:val="auto"/>
          <w:sz w:val="30"/>
          <w:szCs w:val="30"/>
          <w:lang w:eastAsia="zh-CN"/>
        </w:rPr>
        <w:t>、</w:t>
      </w:r>
      <w:r>
        <w:rPr>
          <w:rFonts w:hint="eastAsia" w:ascii="仿宋" w:hAnsi="仿宋" w:eastAsia="仿宋"/>
          <w:color w:val="auto"/>
          <w:sz w:val="30"/>
          <w:szCs w:val="30"/>
        </w:rPr>
        <w:t>池州背向斜带。</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区内断裂主要由北北东向和北东两组。主干断裂有：东至断裂（F1）、葛公断裂（F2），呈北北东向斜贯县境。高坦断裂（F3）、江南深断裂（F4）自县东北入境，呈北东向，为横断裂。（表3-</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w:t>
      </w:r>
    </w:p>
    <w:p>
      <w:pPr>
        <w:spacing w:line="360" w:lineRule="auto"/>
        <w:ind w:firstLine="560" w:firstLineChars="200"/>
        <w:jc w:val="center"/>
        <w:rPr>
          <w:rFonts w:hint="eastAsia" w:ascii="宋体" w:hAnsi="宋体"/>
          <w:color w:val="auto"/>
          <w:sz w:val="28"/>
          <w:szCs w:val="28"/>
        </w:rPr>
      </w:pPr>
      <w:r>
        <w:rPr>
          <w:rFonts w:hint="eastAsia" w:ascii="宋体" w:hAnsi="宋体"/>
          <w:color w:val="auto"/>
          <w:sz w:val="28"/>
          <w:szCs w:val="28"/>
        </w:rPr>
        <w:t>表3-</w:t>
      </w:r>
      <w:r>
        <w:rPr>
          <w:rFonts w:hint="eastAsia" w:ascii="宋体" w:hAnsi="宋体"/>
          <w:color w:val="auto"/>
          <w:sz w:val="28"/>
          <w:szCs w:val="28"/>
          <w:lang w:val="en-US" w:eastAsia="zh-CN"/>
        </w:rPr>
        <w:t>3</w:t>
      </w:r>
      <w:r>
        <w:rPr>
          <w:rFonts w:ascii="宋体" w:hAnsi="宋体"/>
          <w:color w:val="auto"/>
          <w:sz w:val="28"/>
          <w:szCs w:val="28"/>
        </w:rPr>
        <w:t xml:space="preserve">  </w:t>
      </w:r>
      <w:r>
        <w:rPr>
          <w:rFonts w:hint="eastAsia" w:ascii="宋体" w:hAnsi="宋体"/>
          <w:color w:val="auto"/>
          <w:sz w:val="28"/>
          <w:szCs w:val="28"/>
        </w:rPr>
        <w:t>主要断裂一览表</w:t>
      </w:r>
    </w:p>
    <w:tbl>
      <w:tblPr>
        <w:tblStyle w:val="3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2"/>
        <w:gridCol w:w="1153"/>
        <w:gridCol w:w="651"/>
        <w:gridCol w:w="861"/>
        <w:gridCol w:w="5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7" w:type="pct"/>
            <w:tcBorders>
              <w:top w:val="single" w:color="auto" w:sz="4" w:space="0"/>
              <w:left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名称</w:t>
            </w:r>
          </w:p>
        </w:tc>
        <w:tc>
          <w:tcPr>
            <w:tcW w:w="620" w:type="pct"/>
            <w:tcBorders>
              <w:top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出露长度（km）</w:t>
            </w:r>
          </w:p>
        </w:tc>
        <w:tc>
          <w:tcPr>
            <w:tcW w:w="350" w:type="pct"/>
            <w:tcBorders>
              <w:top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走向(°)</w:t>
            </w:r>
          </w:p>
        </w:tc>
        <w:tc>
          <w:tcPr>
            <w:tcW w:w="461" w:type="pct"/>
            <w:tcBorders>
              <w:top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倾角(°)</w:t>
            </w:r>
          </w:p>
        </w:tc>
        <w:tc>
          <w:tcPr>
            <w:tcW w:w="2910" w:type="pct"/>
            <w:tcBorders>
              <w:top w:val="single" w:color="auto" w:sz="4" w:space="0"/>
              <w:right w:val="single" w:color="auto" w:sz="4" w:space="0"/>
            </w:tcBorders>
            <w:shd w:val="clear" w:color="auto" w:fill="auto"/>
            <w:tcMar>
              <w:left w:w="0" w:type="dxa"/>
              <w:right w:w="0" w:type="dxa"/>
            </w:tcMar>
            <w:vAlign w:val="center"/>
          </w:tcPr>
          <w:p>
            <w:pPr>
              <w:spacing w:line="240" w:lineRule="exact"/>
              <w:rPr>
                <w:color w:val="auto"/>
              </w:rPr>
            </w:pPr>
            <w:r>
              <w:rPr>
                <w:rFonts w:hint="eastAsia"/>
                <w:color w:va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7" w:type="pct"/>
            <w:tcBorders>
              <w:top w:val="single" w:color="auto" w:sz="4" w:space="0"/>
              <w:left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葛公断裂（F1）</w:t>
            </w:r>
          </w:p>
        </w:tc>
        <w:tc>
          <w:tcPr>
            <w:tcW w:w="620" w:type="pct"/>
            <w:tcBorders>
              <w:top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80</w:t>
            </w:r>
          </w:p>
        </w:tc>
        <w:tc>
          <w:tcPr>
            <w:tcW w:w="350" w:type="pct"/>
            <w:tcBorders>
              <w:top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北东</w:t>
            </w:r>
          </w:p>
        </w:tc>
        <w:tc>
          <w:tcPr>
            <w:tcW w:w="461" w:type="pct"/>
            <w:tcBorders>
              <w:top w:val="single" w:color="auto" w:sz="4" w:space="0"/>
            </w:tcBorders>
            <w:shd w:val="clear" w:color="auto" w:fill="auto"/>
            <w:tcMar>
              <w:left w:w="0" w:type="dxa"/>
              <w:right w:w="0" w:type="dxa"/>
            </w:tcMar>
            <w:vAlign w:val="center"/>
          </w:tcPr>
          <w:p>
            <w:pPr>
              <w:spacing w:line="240" w:lineRule="exact"/>
              <w:jc w:val="center"/>
              <w:rPr>
                <w:color w:val="auto"/>
                <w:spacing w:val="-20"/>
                <w:szCs w:val="21"/>
              </w:rPr>
            </w:pPr>
            <w:r>
              <w:rPr>
                <w:rFonts w:hint="eastAsia"/>
                <w:color w:val="auto"/>
                <w:spacing w:val="-20"/>
                <w:szCs w:val="21"/>
              </w:rPr>
              <w:t>70°—80°</w:t>
            </w:r>
          </w:p>
        </w:tc>
        <w:tc>
          <w:tcPr>
            <w:tcW w:w="2910" w:type="pct"/>
            <w:tcBorders>
              <w:top w:val="single" w:color="auto" w:sz="4" w:space="0"/>
              <w:right w:val="single" w:color="auto" w:sz="4" w:space="0"/>
            </w:tcBorders>
            <w:shd w:val="clear" w:color="auto" w:fill="auto"/>
            <w:tcMar>
              <w:left w:w="0" w:type="dxa"/>
              <w:right w:w="0" w:type="dxa"/>
            </w:tcMar>
            <w:vAlign w:val="center"/>
          </w:tcPr>
          <w:p>
            <w:pPr>
              <w:spacing w:line="240" w:lineRule="exact"/>
              <w:rPr>
                <w:color w:val="auto"/>
              </w:rPr>
            </w:pPr>
            <w:r>
              <w:rPr>
                <w:rFonts w:hint="eastAsia"/>
                <w:color w:val="auto"/>
              </w:rPr>
              <w:t>沿断裂岩石破碎、硅化，可见断层擦痕及断层角砾岩。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7" w:type="pct"/>
            <w:tcBorders>
              <w:left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高坦断裂（F2）</w:t>
            </w:r>
          </w:p>
        </w:tc>
        <w:tc>
          <w:tcPr>
            <w:tcW w:w="620" w:type="pct"/>
            <w:shd w:val="clear" w:color="auto" w:fill="auto"/>
            <w:tcMar>
              <w:left w:w="0" w:type="dxa"/>
              <w:right w:w="0" w:type="dxa"/>
            </w:tcMar>
            <w:vAlign w:val="center"/>
          </w:tcPr>
          <w:p>
            <w:pPr>
              <w:spacing w:line="240" w:lineRule="exact"/>
              <w:jc w:val="center"/>
              <w:rPr>
                <w:color w:val="auto"/>
              </w:rPr>
            </w:pPr>
            <w:r>
              <w:rPr>
                <w:rFonts w:hint="eastAsia"/>
                <w:color w:val="auto"/>
              </w:rPr>
              <w:t>105</w:t>
            </w:r>
          </w:p>
        </w:tc>
        <w:tc>
          <w:tcPr>
            <w:tcW w:w="350" w:type="pct"/>
            <w:shd w:val="clear" w:color="auto" w:fill="auto"/>
            <w:tcMar>
              <w:left w:w="0" w:type="dxa"/>
              <w:right w:w="0" w:type="dxa"/>
            </w:tcMar>
            <w:vAlign w:val="center"/>
          </w:tcPr>
          <w:p>
            <w:pPr>
              <w:spacing w:line="240" w:lineRule="exact"/>
              <w:jc w:val="center"/>
              <w:rPr>
                <w:color w:val="auto"/>
              </w:rPr>
            </w:pPr>
            <w:r>
              <w:rPr>
                <w:rFonts w:hint="eastAsia"/>
                <w:color w:val="auto"/>
              </w:rPr>
              <w:t>45-60</w:t>
            </w:r>
          </w:p>
        </w:tc>
        <w:tc>
          <w:tcPr>
            <w:tcW w:w="461" w:type="pct"/>
            <w:shd w:val="clear" w:color="auto" w:fill="auto"/>
            <w:tcMar>
              <w:left w:w="0" w:type="dxa"/>
              <w:right w:w="0" w:type="dxa"/>
            </w:tcMar>
            <w:vAlign w:val="center"/>
          </w:tcPr>
          <w:p>
            <w:pPr>
              <w:spacing w:line="240" w:lineRule="exact"/>
              <w:jc w:val="center"/>
              <w:rPr>
                <w:color w:val="auto"/>
                <w:spacing w:val="-20"/>
                <w:szCs w:val="21"/>
              </w:rPr>
            </w:pPr>
          </w:p>
        </w:tc>
        <w:tc>
          <w:tcPr>
            <w:tcW w:w="2910" w:type="pct"/>
            <w:tcBorders>
              <w:right w:val="single" w:color="auto" w:sz="4" w:space="0"/>
            </w:tcBorders>
            <w:shd w:val="clear" w:color="auto" w:fill="auto"/>
            <w:tcMar>
              <w:left w:w="0" w:type="dxa"/>
              <w:right w:w="0" w:type="dxa"/>
            </w:tcMar>
            <w:vAlign w:val="center"/>
          </w:tcPr>
          <w:p>
            <w:pPr>
              <w:spacing w:line="240" w:lineRule="exact"/>
              <w:rPr>
                <w:color w:val="auto"/>
              </w:rPr>
            </w:pPr>
            <w:r>
              <w:rPr>
                <w:rFonts w:hint="eastAsia"/>
                <w:color w:val="auto"/>
              </w:rPr>
              <w:t>倾向北西，倾角75°，断层沟谷、陡崖、三角面、擦痕明显，岩石硅化压碎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7" w:type="pct"/>
            <w:tcBorders>
              <w:left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周王深断裂（F3）</w:t>
            </w:r>
          </w:p>
        </w:tc>
        <w:tc>
          <w:tcPr>
            <w:tcW w:w="620" w:type="pct"/>
            <w:shd w:val="clear" w:color="auto" w:fill="auto"/>
            <w:tcMar>
              <w:left w:w="0" w:type="dxa"/>
              <w:right w:w="0" w:type="dxa"/>
            </w:tcMar>
            <w:vAlign w:val="center"/>
          </w:tcPr>
          <w:p>
            <w:pPr>
              <w:spacing w:line="240" w:lineRule="exact"/>
              <w:jc w:val="center"/>
              <w:rPr>
                <w:color w:val="auto"/>
              </w:rPr>
            </w:pPr>
            <w:r>
              <w:rPr>
                <w:rFonts w:hint="eastAsia"/>
                <w:color w:val="auto"/>
              </w:rPr>
              <w:t>18</w:t>
            </w:r>
          </w:p>
        </w:tc>
        <w:tc>
          <w:tcPr>
            <w:tcW w:w="350" w:type="pct"/>
            <w:shd w:val="clear" w:color="auto" w:fill="auto"/>
            <w:tcMar>
              <w:left w:w="0" w:type="dxa"/>
              <w:right w:w="0" w:type="dxa"/>
            </w:tcMar>
            <w:vAlign w:val="center"/>
          </w:tcPr>
          <w:p>
            <w:pPr>
              <w:spacing w:line="240" w:lineRule="exact"/>
              <w:jc w:val="center"/>
              <w:rPr>
                <w:color w:val="auto"/>
              </w:rPr>
            </w:pPr>
            <w:r>
              <w:rPr>
                <w:rFonts w:hint="eastAsia"/>
                <w:color w:val="auto"/>
              </w:rPr>
              <w:t>近东西</w:t>
            </w:r>
          </w:p>
        </w:tc>
        <w:tc>
          <w:tcPr>
            <w:tcW w:w="461" w:type="pct"/>
            <w:shd w:val="clear" w:color="auto" w:fill="auto"/>
            <w:tcMar>
              <w:left w:w="0" w:type="dxa"/>
              <w:right w:w="0" w:type="dxa"/>
            </w:tcMar>
            <w:vAlign w:val="center"/>
          </w:tcPr>
          <w:p>
            <w:pPr>
              <w:spacing w:line="240" w:lineRule="exact"/>
              <w:jc w:val="center"/>
              <w:rPr>
                <w:color w:val="auto"/>
                <w:spacing w:val="-20"/>
                <w:szCs w:val="21"/>
              </w:rPr>
            </w:pPr>
          </w:p>
        </w:tc>
        <w:tc>
          <w:tcPr>
            <w:tcW w:w="2910" w:type="pct"/>
            <w:tcBorders>
              <w:right w:val="single" w:color="auto" w:sz="4" w:space="0"/>
            </w:tcBorders>
            <w:shd w:val="clear" w:color="auto" w:fill="auto"/>
            <w:tcMar>
              <w:left w:w="0" w:type="dxa"/>
              <w:right w:w="0" w:type="dxa"/>
            </w:tcMar>
            <w:vAlign w:val="center"/>
          </w:tcPr>
          <w:p>
            <w:pPr>
              <w:spacing w:line="240" w:lineRule="exact"/>
              <w:rPr>
                <w:color w:val="auto"/>
              </w:rPr>
            </w:pPr>
            <w:r>
              <w:rPr>
                <w:rFonts w:hint="eastAsia"/>
                <w:color w:val="auto"/>
              </w:rPr>
              <w:t>从北部茅坦至观前沿伸至长江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57" w:type="pct"/>
            <w:tcBorders>
              <w:left w:val="single" w:color="auto" w:sz="4" w:space="0"/>
            </w:tcBorders>
            <w:shd w:val="clear" w:color="auto" w:fill="auto"/>
            <w:tcMar>
              <w:left w:w="0" w:type="dxa"/>
              <w:right w:w="0" w:type="dxa"/>
            </w:tcMar>
            <w:vAlign w:val="center"/>
          </w:tcPr>
          <w:p>
            <w:pPr>
              <w:spacing w:line="240" w:lineRule="exact"/>
              <w:jc w:val="center"/>
              <w:rPr>
                <w:color w:val="auto"/>
              </w:rPr>
            </w:pPr>
            <w:r>
              <w:rPr>
                <w:rFonts w:hint="eastAsia"/>
                <w:color w:val="auto"/>
              </w:rPr>
              <w:t>东至断裂（F4）</w:t>
            </w:r>
          </w:p>
        </w:tc>
        <w:tc>
          <w:tcPr>
            <w:tcW w:w="620" w:type="pct"/>
            <w:shd w:val="clear" w:color="auto" w:fill="auto"/>
            <w:tcMar>
              <w:left w:w="0" w:type="dxa"/>
              <w:right w:w="0" w:type="dxa"/>
            </w:tcMar>
            <w:vAlign w:val="center"/>
          </w:tcPr>
          <w:p>
            <w:pPr>
              <w:spacing w:line="240" w:lineRule="exact"/>
              <w:jc w:val="center"/>
              <w:rPr>
                <w:color w:val="auto"/>
              </w:rPr>
            </w:pPr>
            <w:r>
              <w:rPr>
                <w:rFonts w:hint="eastAsia"/>
                <w:color w:val="auto"/>
              </w:rPr>
              <w:t>100</w:t>
            </w:r>
          </w:p>
        </w:tc>
        <w:tc>
          <w:tcPr>
            <w:tcW w:w="350" w:type="pct"/>
            <w:shd w:val="clear" w:color="auto" w:fill="auto"/>
            <w:tcMar>
              <w:left w:w="0" w:type="dxa"/>
              <w:right w:w="0" w:type="dxa"/>
            </w:tcMar>
            <w:vAlign w:val="center"/>
          </w:tcPr>
          <w:p>
            <w:pPr>
              <w:spacing w:line="240" w:lineRule="exact"/>
              <w:jc w:val="center"/>
              <w:rPr>
                <w:color w:val="auto"/>
              </w:rPr>
            </w:pPr>
            <w:r>
              <w:rPr>
                <w:rFonts w:hint="eastAsia"/>
                <w:color w:val="auto"/>
              </w:rPr>
              <w:t>北北东</w:t>
            </w:r>
          </w:p>
        </w:tc>
        <w:tc>
          <w:tcPr>
            <w:tcW w:w="461" w:type="pct"/>
            <w:shd w:val="clear" w:color="auto" w:fill="auto"/>
            <w:tcMar>
              <w:left w:w="0" w:type="dxa"/>
              <w:right w:w="0" w:type="dxa"/>
            </w:tcMar>
            <w:vAlign w:val="center"/>
          </w:tcPr>
          <w:p>
            <w:pPr>
              <w:spacing w:line="240" w:lineRule="exact"/>
              <w:jc w:val="center"/>
              <w:rPr>
                <w:color w:val="auto"/>
                <w:spacing w:val="-20"/>
                <w:szCs w:val="21"/>
              </w:rPr>
            </w:pPr>
            <w:r>
              <w:rPr>
                <w:rFonts w:hint="eastAsia"/>
                <w:color w:val="auto"/>
                <w:spacing w:val="-20"/>
                <w:szCs w:val="21"/>
              </w:rPr>
              <w:t>60°—70°</w:t>
            </w:r>
          </w:p>
        </w:tc>
        <w:tc>
          <w:tcPr>
            <w:tcW w:w="2910" w:type="pct"/>
            <w:tcBorders>
              <w:right w:val="single" w:color="auto" w:sz="4" w:space="0"/>
            </w:tcBorders>
            <w:shd w:val="clear" w:color="auto" w:fill="auto"/>
            <w:tcMar>
              <w:left w:w="0" w:type="dxa"/>
              <w:right w:w="0" w:type="dxa"/>
            </w:tcMar>
            <w:vAlign w:val="center"/>
          </w:tcPr>
          <w:p>
            <w:pPr>
              <w:spacing w:line="240" w:lineRule="exact"/>
              <w:rPr>
                <w:color w:val="auto"/>
              </w:rPr>
            </w:pPr>
            <w:r>
              <w:rPr>
                <w:rFonts w:hint="eastAsia"/>
                <w:color w:val="auto"/>
              </w:rPr>
              <w:t>由数条断裂组成，以官港—石门街断裂最大，延伸25</w:t>
            </w:r>
            <w:r>
              <w:rPr>
                <w:color w:val="auto"/>
              </w:rPr>
              <w:t>km</w:t>
            </w:r>
            <w:r>
              <w:rPr>
                <w:rFonts w:hint="eastAsia"/>
                <w:color w:val="auto"/>
              </w:rPr>
              <w:t>，地貌上可见直线状山间谷地，溪流蜿蜒其间</w:t>
            </w: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4）新构造运动</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区内新构造运动在不同地区表现有较大差异。</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西北沿江平原区以振荡性升降为特征：晚第三纪以来，长江平原发育有Ⅰ～Ⅳ级阶地，其中，Ⅰ～Ⅲ级阶地组合为内叠式阶地，Ⅳ级阶地为基座阶地，基本反映了本区升降运动的特征。但在不同时期升降运动的幅度和形式是不同的。全新世以前，总体表现以上升为主，上升幅度推测大于60m；全新世以来主要以下降为主，且下降幅度较大，推测其每年下降约7mm。</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中东部中低山及南部低山丘陵区以间歇性缓慢上升，局部巨大隆起凹陷为特征：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lang w:eastAsia="zh-CN"/>
        </w:rPr>
      </w:pPr>
      <w:r>
        <w:rPr>
          <w:rFonts w:hint="eastAsia" w:ascii="仿宋" w:hAnsi="仿宋" w:eastAsia="仿宋"/>
          <w:color w:val="auto"/>
          <w:sz w:val="30"/>
          <w:szCs w:val="30"/>
          <w:lang w:val="en-US" w:eastAsia="zh-CN"/>
        </w:rPr>
        <w:t>a</w:t>
      </w:r>
      <w:r>
        <w:rPr>
          <w:rFonts w:hint="eastAsia" w:ascii="仿宋" w:hAnsi="仿宋" w:eastAsia="仿宋"/>
          <w:color w:val="auto"/>
          <w:sz w:val="30"/>
          <w:szCs w:val="30"/>
        </w:rPr>
        <w:t>.多地阶地的产生及其差异。自早更新世形成的老阶地到现代的侵蚀基准面，其绝对高度相差50～60m，这说明自早更新世以来，河谷地区相对上升了50～60m</w:t>
      </w:r>
      <w:r>
        <w:rPr>
          <w:rFonts w:hint="eastAsia" w:ascii="仿宋" w:hAnsi="仿宋" w:eastAsia="仿宋"/>
          <w:color w:val="auto"/>
          <w:sz w:val="30"/>
          <w:szCs w:val="30"/>
          <w:lang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lang w:val="en-US" w:eastAsia="zh-CN"/>
        </w:rPr>
        <w:t>b</w:t>
      </w:r>
      <w:r>
        <w:rPr>
          <w:rFonts w:hint="eastAsia" w:ascii="仿宋" w:hAnsi="仿宋" w:eastAsia="仿宋"/>
          <w:color w:val="auto"/>
          <w:sz w:val="30"/>
          <w:szCs w:val="30"/>
        </w:rPr>
        <w:t>.多级侵蚀面的存在和差异。区内存在5级侵蚀面，这说明至少有5次较为明显的抬升，最大抬升幅度大于1000m；抬升幅度具有明显的差异性，表现在自北向南侵蚀面逐步升高，且向北西倾斜。</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5、水文地质条件</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根据地下水</w:t>
      </w:r>
      <w:r>
        <w:rPr>
          <w:rFonts w:hint="eastAsia" w:ascii="仿宋" w:hAnsi="仿宋" w:eastAsia="仿宋"/>
          <w:color w:val="auto"/>
          <w:sz w:val="30"/>
          <w:szCs w:val="30"/>
        </w:rPr>
        <w:t>含水</w:t>
      </w:r>
      <w:r>
        <w:rPr>
          <w:rFonts w:hint="eastAsia" w:ascii="仿宋" w:hAnsi="仿宋" w:eastAsia="仿宋" w:cs="仿宋"/>
          <w:color w:val="auto"/>
          <w:sz w:val="30"/>
          <w:szCs w:val="30"/>
        </w:rPr>
        <w:t>介质特征，区内地下水类型主要可划分为松散岩类孔隙水、碎屑岩类裂隙孔隙水、碳酸盐岩裂隙岩溶水及基岩裂隙水。</w:t>
      </w:r>
    </w:p>
    <w:p>
      <w:pPr>
        <w:spacing w:line="360" w:lineRule="auto"/>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rPr>
        <w:t>松散岩类孔隙水，广泛分布于西北部的沿江平原区及山间河谷地带，主要赋存于新生代第四纪冲洪积层中。沿江平原区主要含水层为砂层、砂砾石层，厚度一般大于30m，单井涌水量100～1000m</w:t>
      </w:r>
      <w:r>
        <w:rPr>
          <w:rFonts w:hint="eastAsia" w:ascii="仿宋" w:hAnsi="仿宋" w:eastAsia="仿宋" w:cs="仿宋"/>
          <w:color w:val="auto"/>
          <w:sz w:val="30"/>
          <w:szCs w:val="30"/>
          <w:vertAlign w:val="superscript"/>
        </w:rPr>
        <w:t>3</w:t>
      </w:r>
      <w:r>
        <w:rPr>
          <w:rFonts w:hint="eastAsia" w:ascii="仿宋" w:hAnsi="仿宋" w:eastAsia="仿宋" w:cs="仿宋"/>
          <w:color w:val="auto"/>
          <w:sz w:val="30"/>
          <w:szCs w:val="30"/>
        </w:rPr>
        <w:t>/d，最高水位出现在7～9月份，最低水位出现在1月份，年变幅12.23m，溶解性总固体0.4～0.95g/L，水化学类型为HCO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—Ca·Mg型，pH值为8.0；山间河谷地带主要含水层为砂层、砂砾石层、砾石层，厚度一般小于3m，赋水面积小，水量贫乏，单井涌水量10～100m</w:t>
      </w:r>
      <w:r>
        <w:rPr>
          <w:rFonts w:hint="eastAsia" w:ascii="仿宋" w:hAnsi="仿宋" w:eastAsia="仿宋" w:cs="仿宋"/>
          <w:color w:val="auto"/>
          <w:sz w:val="30"/>
          <w:szCs w:val="30"/>
          <w:vertAlign w:val="superscript"/>
        </w:rPr>
        <w:t>3</w:t>
      </w:r>
      <w:r>
        <w:rPr>
          <w:rFonts w:hint="eastAsia" w:ascii="仿宋" w:hAnsi="仿宋" w:eastAsia="仿宋" w:cs="仿宋"/>
          <w:color w:val="auto"/>
          <w:sz w:val="30"/>
          <w:szCs w:val="30"/>
        </w:rPr>
        <w:t>/d，溶解性总固体0.25～0.76g/L，水化学类型为HCO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—Ca·Mg、HCO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—Ca·Na型，pH值为7.0。</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碎屑岩类</w:t>
      </w:r>
      <w:r>
        <w:rPr>
          <w:rFonts w:hint="eastAsia" w:ascii="仿宋" w:hAnsi="仿宋" w:eastAsia="仿宋"/>
          <w:color w:val="auto"/>
          <w:sz w:val="30"/>
          <w:szCs w:val="30"/>
        </w:rPr>
        <w:t>裂隙</w:t>
      </w:r>
      <w:r>
        <w:rPr>
          <w:rFonts w:hint="eastAsia" w:ascii="仿宋" w:hAnsi="仿宋" w:eastAsia="仿宋" w:cs="仿宋"/>
          <w:color w:val="auto"/>
          <w:sz w:val="30"/>
          <w:szCs w:val="30"/>
        </w:rPr>
        <w:t>孔隙水，主要分布于西北部东流镇南部、张溪镇北部及东流镇东部地区，赋存于新生代第三纪、中生代白垩纪砂砾岩、粉砂质泥岩风化裂隙及疏松砂岩的孔隙裂隙之中，泉涌量小于0.1L/s，地下水径流模数0.5～1L/s·km</w:t>
      </w:r>
      <w:r>
        <w:rPr>
          <w:rFonts w:hint="eastAsia" w:ascii="仿宋" w:hAnsi="仿宋" w:eastAsia="仿宋" w:cs="仿宋"/>
          <w:color w:val="auto"/>
          <w:sz w:val="30"/>
          <w:szCs w:val="30"/>
          <w:vertAlign w:val="superscript"/>
        </w:rPr>
        <w:t>2</w:t>
      </w:r>
      <w:r>
        <w:rPr>
          <w:rFonts w:hint="eastAsia" w:ascii="仿宋" w:hAnsi="仿宋" w:eastAsia="仿宋" w:cs="仿宋"/>
          <w:color w:val="auto"/>
          <w:sz w:val="30"/>
          <w:szCs w:val="30"/>
        </w:rPr>
        <w:t>，单井涌水量10～50m</w:t>
      </w:r>
      <w:r>
        <w:rPr>
          <w:rFonts w:hint="eastAsia" w:ascii="仿宋" w:hAnsi="仿宋" w:eastAsia="仿宋" w:cs="仿宋"/>
          <w:color w:val="auto"/>
          <w:sz w:val="30"/>
          <w:szCs w:val="30"/>
          <w:vertAlign w:val="superscript"/>
        </w:rPr>
        <w:t>3</w:t>
      </w:r>
      <w:r>
        <w:rPr>
          <w:rFonts w:hint="eastAsia" w:ascii="仿宋" w:hAnsi="仿宋" w:eastAsia="仿宋" w:cs="仿宋"/>
          <w:color w:val="auto"/>
          <w:sz w:val="30"/>
          <w:szCs w:val="30"/>
        </w:rPr>
        <w:t>/d，水量贫乏，在构造有利部位富水性相对较好。具承压性质。水化学类型以HCO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-Ca·Mg、HCO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-Ca·Na为主，矿化度0.14～0.92g/L。</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碳酸盐岩裂隙</w:t>
      </w:r>
      <w:r>
        <w:rPr>
          <w:rFonts w:hint="eastAsia" w:ascii="仿宋" w:hAnsi="仿宋" w:eastAsia="仿宋"/>
          <w:color w:val="auto"/>
          <w:sz w:val="30"/>
          <w:szCs w:val="30"/>
        </w:rPr>
        <w:t>岩溶</w:t>
      </w:r>
      <w:r>
        <w:rPr>
          <w:rFonts w:hint="eastAsia" w:ascii="仿宋" w:hAnsi="仿宋" w:eastAsia="仿宋" w:cs="仿宋"/>
          <w:color w:val="auto"/>
          <w:sz w:val="30"/>
          <w:szCs w:val="30"/>
        </w:rPr>
        <w:t>水，主要分布于区内中部洋湖、尧渡、张溪等地，赋存于二叠纪、三叠纪、石炭纪、寒武纪、奥陶纪灰岩、白云质灰岩的裂隙中。根据出露条件分为裸露型和覆盖型（覆盖深度小于50m）。裸露型地层富水性较为丰富，泉涌量1～100L/s，暗河流量10～1000L/s，地下水径流模数1.14～6.61L/s·km</w:t>
      </w:r>
      <w:r>
        <w:rPr>
          <w:rFonts w:hint="eastAsia" w:ascii="仿宋" w:hAnsi="仿宋" w:eastAsia="仿宋" w:cs="仿宋"/>
          <w:color w:val="auto"/>
          <w:sz w:val="30"/>
          <w:szCs w:val="30"/>
          <w:vertAlign w:val="superscript"/>
        </w:rPr>
        <w:t>2</w:t>
      </w:r>
      <w:r>
        <w:rPr>
          <w:rFonts w:hint="eastAsia" w:ascii="仿宋" w:hAnsi="仿宋" w:eastAsia="仿宋" w:cs="仿宋"/>
          <w:color w:val="auto"/>
          <w:sz w:val="30"/>
          <w:szCs w:val="30"/>
        </w:rPr>
        <w:t>，在地貌上组成断褶溶蚀低山、丘陵，植被茂密，地表溶沟、溶槽、溶洞较发育，地下水沿岩层界面裂隙、溶沟、溶槽入渗，流向构造发育部位，地下水溶解性总固体0.1～0.48g/L，水化学类型为HCO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—Ca·Mg型，水质偏中性或碱性；覆盖型上部为第四纪松散层覆盖，一般-30m以上岩溶发育，单井涌水量100～3000m</w:t>
      </w:r>
      <w:r>
        <w:rPr>
          <w:rFonts w:hint="eastAsia" w:ascii="仿宋" w:hAnsi="仿宋" w:eastAsia="仿宋" w:cs="仿宋"/>
          <w:color w:val="auto"/>
          <w:sz w:val="30"/>
          <w:szCs w:val="30"/>
          <w:vertAlign w:val="superscript"/>
        </w:rPr>
        <w:t>3</w:t>
      </w:r>
      <w:r>
        <w:rPr>
          <w:rFonts w:hint="eastAsia" w:ascii="仿宋" w:hAnsi="仿宋" w:eastAsia="仿宋" w:cs="仿宋"/>
          <w:color w:val="auto"/>
          <w:sz w:val="30"/>
          <w:szCs w:val="30"/>
        </w:rPr>
        <w:t>/d，溶解性总固体0.50g/L，水化学类型为HCO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—Ca·Mg型。</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rPr>
      </w:pPr>
      <w:r>
        <w:rPr>
          <w:rFonts w:hint="eastAsia" w:ascii="仿宋" w:hAnsi="仿宋" w:eastAsia="仿宋" w:cs="仿宋"/>
          <w:color w:val="auto"/>
          <w:sz w:val="30"/>
          <w:szCs w:val="30"/>
        </w:rPr>
        <w:t>基岩裂隙水，</w:t>
      </w:r>
      <w:r>
        <w:rPr>
          <w:rFonts w:hint="eastAsia" w:ascii="仿宋" w:hAnsi="仿宋" w:eastAsia="仿宋"/>
          <w:color w:val="auto"/>
          <w:sz w:val="30"/>
          <w:szCs w:val="30"/>
        </w:rPr>
        <w:t>主要</w:t>
      </w:r>
      <w:r>
        <w:rPr>
          <w:rFonts w:hint="eastAsia" w:ascii="仿宋" w:hAnsi="仿宋" w:eastAsia="仿宋" w:cs="仿宋"/>
          <w:color w:val="auto"/>
          <w:sz w:val="30"/>
          <w:szCs w:val="30"/>
        </w:rPr>
        <w:t>分布于区内南部地区，赋存于中生代志留纪、泥盆纪及晚元古代震旦纪、青白口纪、中元古代溪口群等的页岩、砂岩、石英砂岩、浅变质粉砂岩、千枚岩的构造裂隙、风化带孔隙中，泉涌量0.01～1.0L/s，地下水径流模数1.07～5.21L/s·km</w:t>
      </w:r>
      <w:r>
        <w:rPr>
          <w:rFonts w:hint="eastAsia" w:ascii="仿宋" w:hAnsi="仿宋" w:eastAsia="仿宋" w:cs="仿宋"/>
          <w:color w:val="auto"/>
          <w:sz w:val="30"/>
          <w:szCs w:val="30"/>
          <w:vertAlign w:val="superscript"/>
        </w:rPr>
        <w:t>2</w:t>
      </w:r>
      <w:r>
        <w:rPr>
          <w:rFonts w:hint="eastAsia" w:ascii="仿宋" w:hAnsi="仿宋" w:eastAsia="仿宋" w:cs="仿宋"/>
          <w:color w:val="auto"/>
          <w:sz w:val="30"/>
          <w:szCs w:val="30"/>
        </w:rPr>
        <w:t>，溶解性总固体0.06～0.20g/L，水化学类型以HCO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—Ca为主，局部HCO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—Ca·Mg、HCO</w:t>
      </w:r>
      <w:r>
        <w:rPr>
          <w:rFonts w:hint="eastAsia" w:ascii="仿宋" w:hAnsi="仿宋" w:eastAsia="仿宋" w:cs="仿宋"/>
          <w:color w:val="auto"/>
          <w:sz w:val="30"/>
          <w:szCs w:val="30"/>
          <w:vertAlign w:val="subscript"/>
        </w:rPr>
        <w:t>3</w:t>
      </w:r>
      <w:r>
        <w:rPr>
          <w:rFonts w:hint="eastAsia" w:ascii="仿宋" w:hAnsi="仿宋" w:eastAsia="仿宋" w:cs="仿宋"/>
          <w:color w:val="auto"/>
          <w:sz w:val="30"/>
          <w:szCs w:val="30"/>
        </w:rPr>
        <w:t>—Ca·Na型，pH值为6.5～7.65，呈中性。</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6、工程地质条件</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区内地质体包括岩体和土体两大类，其中，岩体划分岩浆岩、沉积岩和变质岩三大建造类型，按成因、岩体结构类型和坚硬程度等可划分为8个岩组。分别是：块状强—中等风化岩浆岩岩组（γ）、薄—厚层状具泥化夹层较软砂岩岩组（E+K）、中—厚层碎裂状页岩、砂岩岩组(S+D)、薄—厚层状页岩、灰岩岩组（C+P+T）、中—厚层状中等岩溶化灰岩、白云岩岩组（∈+O）、中-厚层状较坚硬-坚硬砂岩、硅质岩岩组（Z）、片状较软含云母千枚岩、板岩岩组（Pt+Qn）、第四纪松散岩类岩组（Q）。</w:t>
      </w:r>
    </w:p>
    <w:p>
      <w:pPr>
        <w:spacing w:line="360" w:lineRule="auto"/>
        <w:ind w:firstLine="600" w:firstLineChars="200"/>
        <w:textAlignment w:val="top"/>
        <w:rPr>
          <w:rFonts w:hint="eastAsia" w:ascii="仿宋" w:hAnsi="仿宋" w:eastAsia="仿宋"/>
          <w:color w:val="auto"/>
          <w:sz w:val="30"/>
          <w:szCs w:val="30"/>
        </w:rPr>
      </w:pPr>
      <w:r>
        <w:rPr>
          <w:rFonts w:hint="eastAsia" w:ascii="仿宋" w:hAnsi="仿宋" w:eastAsia="仿宋"/>
          <w:color w:val="auto"/>
          <w:sz w:val="30"/>
          <w:szCs w:val="30"/>
        </w:rPr>
        <w:t>调查数据统计表明，块状强—中等风化岩浆岩岩组最易发生地质灾害，其次是薄-中层状软弱-较坚硬粉砂岩、粉砂质千枚岩岩组。</w:t>
      </w:r>
    </w:p>
    <w:p>
      <w:pPr>
        <w:pStyle w:val="6"/>
        <w:ind w:firstLine="643" w:firstLineChars="200"/>
        <w:rPr>
          <w:rFonts w:hint="eastAsia"/>
          <w:color w:val="auto"/>
        </w:rPr>
      </w:pPr>
      <w:bookmarkStart w:id="31" w:name="_Toc11387"/>
      <w:r>
        <w:rPr>
          <w:rFonts w:hint="eastAsia"/>
          <w:color w:val="auto"/>
        </w:rPr>
        <w:t>（二）地质灾害防治工作现状</w:t>
      </w:r>
      <w:bookmarkEnd w:id="31"/>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b w:val="0"/>
          <w:bCs/>
          <w:color w:val="auto"/>
          <w:kern w:val="2"/>
          <w:sz w:val="30"/>
          <w:szCs w:val="30"/>
          <w:lang w:val="en-US" w:eastAsia="zh-CN" w:bidi="ar-SA"/>
        </w:rPr>
      </w:pPr>
      <w:r>
        <w:rPr>
          <w:rFonts w:hint="eastAsia" w:ascii="仿宋" w:hAnsi="仿宋" w:eastAsia="仿宋" w:cs="Times New Roman"/>
          <w:b w:val="0"/>
          <w:bCs/>
          <w:color w:val="auto"/>
          <w:kern w:val="2"/>
          <w:sz w:val="30"/>
          <w:szCs w:val="30"/>
          <w:lang w:val="en-US" w:eastAsia="zh-CN" w:bidi="ar-SA"/>
        </w:rPr>
        <w:t>东至县县委、县政府高度重视地质灾害的防治工作，2014年委托安徽省地质环境监测总站</w:t>
      </w:r>
      <w:r>
        <w:rPr>
          <w:rFonts w:hint="eastAsia" w:ascii="仿宋" w:hAnsi="仿宋" w:eastAsia="仿宋"/>
          <w:color w:val="auto"/>
          <w:sz w:val="30"/>
          <w:szCs w:val="30"/>
          <w:lang w:val="en-US" w:eastAsia="zh-CN"/>
        </w:rPr>
        <w:t>开展</w:t>
      </w:r>
      <w:r>
        <w:rPr>
          <w:rFonts w:hint="eastAsia" w:ascii="仿宋" w:hAnsi="仿宋" w:eastAsia="仿宋" w:cs="Times New Roman"/>
          <w:b w:val="0"/>
          <w:bCs/>
          <w:color w:val="auto"/>
          <w:kern w:val="2"/>
          <w:sz w:val="30"/>
          <w:szCs w:val="30"/>
          <w:lang w:val="en-US" w:eastAsia="zh-CN" w:bidi="ar-SA"/>
        </w:rPr>
        <w:t>了东至县1:5万地质灾害调查与区划，对我县地质灾害和地质环境状况进行了较全面的了解，完成全覆盖调查，对区内的地质灾害隐患点进行了确认，并圈定了地质灾害易发区、防治区。提出了地质灾害防治规划建议稿，初步建成了重要地质灾害隐患点监测网络，落实了地质灾害防治各项制度，编制重要隐患点防灾预案，建设工程地质灾害危险性评估、</w:t>
      </w:r>
      <w:r>
        <w:rPr>
          <w:rFonts w:hint="eastAsia" w:ascii="仿宋" w:hAnsi="仿宋" w:eastAsia="仿宋"/>
          <w:color w:val="auto"/>
          <w:sz w:val="30"/>
          <w:szCs w:val="30"/>
          <w:lang w:val="en-US" w:eastAsia="zh-CN"/>
        </w:rPr>
        <w:t>隐患</w:t>
      </w:r>
      <w:r>
        <w:rPr>
          <w:rFonts w:hint="eastAsia" w:ascii="仿宋" w:hAnsi="仿宋" w:eastAsia="仿宋" w:cs="Times New Roman"/>
          <w:b w:val="0"/>
          <w:bCs/>
          <w:color w:val="auto"/>
          <w:kern w:val="2"/>
          <w:sz w:val="30"/>
          <w:szCs w:val="30"/>
          <w:lang w:val="en-US" w:eastAsia="zh-CN" w:bidi="ar-SA"/>
        </w:rPr>
        <w:t>点搬迁避让和工程治理工作逐渐开展，地质灾害防治资金投入逐年增加。每年汛前、汛中和汛后都安排地勘专业队伍对县内隐患点进行调查、排查和核查，对新发生的地灾（隐患）点进行了确认。</w:t>
      </w:r>
    </w:p>
    <w:p>
      <w:pPr>
        <w:pStyle w:val="6"/>
        <w:ind w:firstLine="643" w:firstLineChars="200"/>
        <w:rPr>
          <w:color w:val="auto"/>
        </w:rPr>
      </w:pPr>
      <w:bookmarkStart w:id="32" w:name="_Toc9766"/>
      <w:r>
        <w:rPr>
          <w:rFonts w:hint="eastAsia"/>
          <w:color w:val="auto"/>
        </w:rPr>
        <w:t>（三）地质灾害发育现状</w:t>
      </w:r>
      <w:bookmarkEnd w:id="26"/>
      <w:bookmarkEnd w:id="27"/>
      <w:bookmarkEnd w:id="32"/>
    </w:p>
    <w:bookmarkEnd w:id="28"/>
    <w:bookmarkEnd w:id="29"/>
    <w:bookmarkEnd w:id="30"/>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rPr>
      </w:pPr>
      <w:bookmarkStart w:id="33" w:name="_Toc263923343"/>
      <w:bookmarkStart w:id="34" w:name="_Toc263922934"/>
      <w:r>
        <w:rPr>
          <w:rFonts w:hint="eastAsia" w:ascii="仿宋" w:hAnsi="仿宋" w:eastAsia="仿宋" w:cs="仿宋"/>
          <w:color w:val="auto"/>
          <w:spacing w:val="-2"/>
          <w:kern w:val="0"/>
          <w:sz w:val="30"/>
          <w:szCs w:val="30"/>
          <w:lang w:val="en-US" w:eastAsia="zh-CN"/>
        </w:rPr>
        <w:t>东至县地跨北纬29</w:t>
      </w:r>
      <w:r>
        <w:rPr>
          <w:rFonts w:hint="eastAsia" w:ascii="仿宋" w:hAnsi="仿宋" w:eastAsia="仿宋"/>
          <w:color w:val="auto"/>
          <w:sz w:val="30"/>
          <w:szCs w:val="30"/>
          <w:lang w:val="en-US" w:eastAsia="zh-CN"/>
        </w:rPr>
        <w:t>°</w:t>
      </w:r>
      <w:r>
        <w:rPr>
          <w:rFonts w:hint="eastAsia" w:ascii="仿宋" w:hAnsi="仿宋" w:eastAsia="仿宋" w:cs="仿宋"/>
          <w:color w:val="auto"/>
          <w:spacing w:val="-2"/>
          <w:kern w:val="0"/>
          <w:sz w:val="30"/>
          <w:szCs w:val="30"/>
          <w:lang w:val="en-US" w:eastAsia="zh-CN"/>
        </w:rPr>
        <w:t>34-30°30′，东经116°39-17°18′。东与贵池区、石台县、祁门县接壤，南及西南与江西省景德镇市和浮梁、鄱阳、彭泽县毗邻，西北与</w:t>
      </w:r>
      <w:r>
        <w:rPr>
          <w:rFonts w:hint="eastAsia" w:ascii="仿宋" w:hAnsi="仿宋" w:eastAsia="仿宋"/>
          <w:color w:val="auto"/>
          <w:sz w:val="30"/>
          <w:szCs w:val="30"/>
          <w:lang w:val="en-US" w:eastAsia="zh-CN"/>
        </w:rPr>
        <w:t>安庆市</w:t>
      </w:r>
      <w:r>
        <w:rPr>
          <w:rFonts w:hint="eastAsia" w:ascii="仿宋" w:hAnsi="仿宋" w:eastAsia="仿宋" w:cs="仿宋"/>
          <w:color w:val="auto"/>
          <w:spacing w:val="-2"/>
          <w:kern w:val="0"/>
          <w:sz w:val="30"/>
          <w:szCs w:val="30"/>
          <w:lang w:val="en-US" w:eastAsia="zh-CN"/>
        </w:rPr>
        <w:t>和东至、望江县隔江相望。总面积为3250.03平方公里，占全省总面积的2.3%。东至县地处沿江丘陵平原及皖南山地交叉地带，</w:t>
      </w:r>
      <w:r>
        <w:rPr>
          <w:rFonts w:hint="eastAsia" w:ascii="仿宋" w:hAnsi="仿宋" w:eastAsia="仿宋" w:cs="仿宋"/>
          <w:color w:val="auto"/>
          <w:spacing w:val="-2"/>
          <w:kern w:val="0"/>
          <w:sz w:val="30"/>
          <w:szCs w:val="30"/>
        </w:rPr>
        <w:t>地貌类型多样，地质构造复杂，汛期降雨丰沛，孕育突发性地质灾害的背景条件长期存在，加之山区、丘陵地区人类工程活动越来越频繁，地质灾害呈多发频发态势，防治形势严峻。</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rPr>
        <w:t>截至2020年底，全</w:t>
      </w:r>
      <w:r>
        <w:rPr>
          <w:rFonts w:hint="eastAsia" w:ascii="仿宋" w:hAnsi="仿宋" w:eastAsia="仿宋" w:cs="仿宋"/>
          <w:color w:val="auto"/>
          <w:spacing w:val="-2"/>
          <w:kern w:val="0"/>
          <w:sz w:val="30"/>
          <w:szCs w:val="30"/>
          <w:lang w:val="en-US" w:eastAsia="zh-CN"/>
        </w:rPr>
        <w:t>县</w:t>
      </w:r>
      <w:r>
        <w:rPr>
          <w:rFonts w:hint="eastAsia" w:ascii="仿宋" w:hAnsi="仿宋" w:eastAsia="仿宋" w:cs="仿宋"/>
          <w:color w:val="auto"/>
          <w:spacing w:val="-2"/>
          <w:kern w:val="0"/>
          <w:sz w:val="30"/>
          <w:szCs w:val="30"/>
        </w:rPr>
        <w:t>现有地质灾害隐患点</w:t>
      </w:r>
      <w:r>
        <w:rPr>
          <w:rFonts w:hint="eastAsia" w:ascii="仿宋" w:hAnsi="仿宋" w:eastAsia="仿宋" w:cs="仿宋"/>
          <w:color w:val="auto"/>
          <w:spacing w:val="-2"/>
          <w:kern w:val="0"/>
          <w:sz w:val="30"/>
          <w:szCs w:val="30"/>
          <w:lang w:val="en-US" w:eastAsia="zh-CN"/>
        </w:rPr>
        <w:t>147</w:t>
      </w:r>
      <w:r>
        <w:rPr>
          <w:rFonts w:hint="eastAsia" w:ascii="仿宋" w:hAnsi="仿宋" w:eastAsia="仿宋" w:cs="仿宋"/>
          <w:color w:val="auto"/>
          <w:spacing w:val="-2"/>
          <w:kern w:val="0"/>
          <w:sz w:val="30"/>
          <w:szCs w:val="30"/>
        </w:rPr>
        <w:t>处，威胁的户数为</w:t>
      </w:r>
      <w:r>
        <w:rPr>
          <w:rFonts w:hint="eastAsia" w:ascii="仿宋" w:hAnsi="仿宋" w:eastAsia="仿宋" w:cs="仿宋"/>
          <w:color w:val="auto"/>
          <w:spacing w:val="-2"/>
          <w:kern w:val="0"/>
          <w:sz w:val="30"/>
          <w:szCs w:val="30"/>
          <w:lang w:val="en-US" w:eastAsia="zh-CN"/>
        </w:rPr>
        <w:t>405</w:t>
      </w:r>
      <w:r>
        <w:rPr>
          <w:rFonts w:hint="eastAsia" w:ascii="仿宋" w:hAnsi="仿宋" w:eastAsia="仿宋" w:cs="仿宋"/>
          <w:color w:val="auto"/>
          <w:spacing w:val="-2"/>
          <w:kern w:val="0"/>
          <w:sz w:val="30"/>
          <w:szCs w:val="30"/>
        </w:rPr>
        <w:t>户，威胁人口</w:t>
      </w:r>
      <w:r>
        <w:rPr>
          <w:rFonts w:hint="eastAsia" w:ascii="仿宋" w:hAnsi="仿宋" w:eastAsia="仿宋" w:cs="仿宋"/>
          <w:color w:val="auto"/>
          <w:spacing w:val="-2"/>
          <w:kern w:val="0"/>
          <w:sz w:val="30"/>
          <w:szCs w:val="30"/>
          <w:lang w:val="en-US" w:eastAsia="zh-CN"/>
        </w:rPr>
        <w:t>1484</w:t>
      </w:r>
      <w:r>
        <w:rPr>
          <w:rFonts w:hint="eastAsia" w:ascii="仿宋" w:hAnsi="仿宋" w:eastAsia="仿宋" w:cs="仿宋"/>
          <w:color w:val="auto"/>
          <w:spacing w:val="-2"/>
          <w:kern w:val="0"/>
          <w:sz w:val="30"/>
          <w:szCs w:val="30"/>
        </w:rPr>
        <w:t>人，财产</w:t>
      </w:r>
      <w:r>
        <w:rPr>
          <w:rFonts w:hint="eastAsia" w:ascii="仿宋" w:hAnsi="仿宋" w:eastAsia="仿宋" w:cs="仿宋"/>
          <w:color w:val="auto"/>
          <w:spacing w:val="-2"/>
          <w:kern w:val="0"/>
          <w:sz w:val="30"/>
          <w:szCs w:val="30"/>
          <w:lang w:val="en-US" w:eastAsia="zh-CN"/>
        </w:rPr>
        <w:t>6039</w:t>
      </w:r>
      <w:r>
        <w:rPr>
          <w:rFonts w:hint="eastAsia" w:ascii="仿宋" w:hAnsi="仿宋" w:eastAsia="仿宋" w:cs="仿宋"/>
          <w:color w:val="auto"/>
          <w:spacing w:val="-2"/>
          <w:kern w:val="0"/>
          <w:sz w:val="30"/>
          <w:szCs w:val="30"/>
        </w:rPr>
        <w:t>万元。按地质灾害类型分，</w:t>
      </w:r>
      <w:r>
        <w:rPr>
          <w:rFonts w:hint="eastAsia" w:ascii="仿宋" w:hAnsi="仿宋" w:eastAsia="仿宋" w:cs="仿宋"/>
          <w:color w:val="auto"/>
          <w:spacing w:val="-2"/>
          <w:kern w:val="0"/>
          <w:sz w:val="30"/>
          <w:szCs w:val="30"/>
          <w:highlight w:val="none"/>
        </w:rPr>
        <w:t>崩塌</w:t>
      </w:r>
      <w:r>
        <w:rPr>
          <w:rFonts w:hint="eastAsia" w:ascii="仿宋" w:hAnsi="仿宋" w:eastAsia="仿宋" w:cs="仿宋"/>
          <w:color w:val="auto"/>
          <w:spacing w:val="-2"/>
          <w:kern w:val="0"/>
          <w:sz w:val="30"/>
          <w:szCs w:val="30"/>
          <w:highlight w:val="none"/>
          <w:lang w:val="en-US" w:eastAsia="zh-CN"/>
        </w:rPr>
        <w:t>85</w:t>
      </w:r>
      <w:r>
        <w:rPr>
          <w:rFonts w:hint="eastAsia" w:ascii="仿宋" w:hAnsi="仿宋" w:eastAsia="仿宋" w:cs="仿宋"/>
          <w:color w:val="auto"/>
          <w:spacing w:val="-2"/>
          <w:kern w:val="0"/>
          <w:sz w:val="30"/>
          <w:szCs w:val="30"/>
          <w:highlight w:val="none"/>
        </w:rPr>
        <w:t>处、滑坡</w:t>
      </w:r>
      <w:r>
        <w:rPr>
          <w:rFonts w:hint="eastAsia" w:ascii="仿宋" w:hAnsi="仿宋" w:eastAsia="仿宋" w:cs="仿宋"/>
          <w:color w:val="auto"/>
          <w:spacing w:val="-2"/>
          <w:kern w:val="0"/>
          <w:sz w:val="30"/>
          <w:szCs w:val="30"/>
          <w:highlight w:val="none"/>
          <w:lang w:val="en-US" w:eastAsia="zh-CN"/>
        </w:rPr>
        <w:t>53</w:t>
      </w:r>
      <w:r>
        <w:rPr>
          <w:rFonts w:hint="eastAsia" w:ascii="仿宋" w:hAnsi="仿宋" w:eastAsia="仿宋" w:cs="仿宋"/>
          <w:color w:val="auto"/>
          <w:spacing w:val="-2"/>
          <w:kern w:val="0"/>
          <w:sz w:val="30"/>
          <w:szCs w:val="30"/>
          <w:highlight w:val="none"/>
        </w:rPr>
        <w:t>处、泥石流</w:t>
      </w:r>
      <w:r>
        <w:rPr>
          <w:rFonts w:hint="eastAsia" w:ascii="仿宋" w:hAnsi="仿宋" w:eastAsia="仿宋" w:cs="仿宋"/>
          <w:color w:val="auto"/>
          <w:spacing w:val="-2"/>
          <w:kern w:val="0"/>
          <w:sz w:val="30"/>
          <w:szCs w:val="30"/>
          <w:highlight w:val="none"/>
          <w:lang w:val="en-US" w:eastAsia="zh-CN"/>
        </w:rPr>
        <w:t>5</w:t>
      </w:r>
      <w:r>
        <w:rPr>
          <w:rFonts w:hint="eastAsia" w:ascii="仿宋" w:hAnsi="仿宋" w:eastAsia="仿宋" w:cs="仿宋"/>
          <w:color w:val="auto"/>
          <w:spacing w:val="-2"/>
          <w:kern w:val="0"/>
          <w:sz w:val="30"/>
          <w:szCs w:val="30"/>
          <w:highlight w:val="none"/>
        </w:rPr>
        <w:t>处、地面塌陷</w:t>
      </w:r>
      <w:r>
        <w:rPr>
          <w:rFonts w:hint="eastAsia" w:ascii="仿宋" w:hAnsi="仿宋" w:eastAsia="仿宋" w:cs="仿宋"/>
          <w:color w:val="auto"/>
          <w:spacing w:val="-2"/>
          <w:kern w:val="0"/>
          <w:sz w:val="30"/>
          <w:szCs w:val="30"/>
          <w:highlight w:val="none"/>
          <w:lang w:val="en-US" w:eastAsia="zh-CN"/>
        </w:rPr>
        <w:t>4</w:t>
      </w:r>
      <w:r>
        <w:rPr>
          <w:rFonts w:hint="eastAsia" w:ascii="仿宋" w:hAnsi="仿宋" w:eastAsia="仿宋" w:cs="仿宋"/>
          <w:color w:val="auto"/>
          <w:spacing w:val="-2"/>
          <w:kern w:val="0"/>
          <w:sz w:val="30"/>
          <w:szCs w:val="30"/>
          <w:highlight w:val="none"/>
        </w:rPr>
        <w:t>处。按险情等级分，均为小型。</w:t>
      </w:r>
      <w:r>
        <w:rPr>
          <w:rFonts w:hint="eastAsia" w:ascii="仿宋" w:hAnsi="仿宋" w:eastAsia="仿宋" w:cs="仿宋"/>
          <w:color w:val="auto"/>
          <w:spacing w:val="-2"/>
          <w:kern w:val="0"/>
          <w:sz w:val="30"/>
          <w:szCs w:val="30"/>
        </w:rPr>
        <w:t>按稳定程度分：不稳定</w:t>
      </w:r>
      <w:r>
        <w:rPr>
          <w:rFonts w:hint="eastAsia" w:ascii="仿宋" w:hAnsi="仿宋" w:eastAsia="仿宋" w:cs="仿宋"/>
          <w:color w:val="auto"/>
          <w:spacing w:val="-2"/>
          <w:kern w:val="0"/>
          <w:sz w:val="30"/>
          <w:szCs w:val="30"/>
          <w:lang w:val="en-US" w:eastAsia="zh-CN"/>
        </w:rPr>
        <w:t>132</w:t>
      </w:r>
      <w:r>
        <w:rPr>
          <w:rFonts w:hint="eastAsia" w:ascii="仿宋" w:hAnsi="仿宋" w:eastAsia="仿宋" w:cs="仿宋"/>
          <w:color w:val="auto"/>
          <w:spacing w:val="-2"/>
          <w:kern w:val="0"/>
          <w:sz w:val="30"/>
          <w:szCs w:val="30"/>
        </w:rPr>
        <w:t>处，基本稳定</w:t>
      </w:r>
      <w:r>
        <w:rPr>
          <w:rFonts w:hint="eastAsia" w:ascii="仿宋" w:hAnsi="仿宋" w:eastAsia="仿宋" w:cs="仿宋"/>
          <w:color w:val="auto"/>
          <w:spacing w:val="-2"/>
          <w:kern w:val="0"/>
          <w:sz w:val="30"/>
          <w:szCs w:val="30"/>
          <w:lang w:val="en-US" w:eastAsia="zh-CN"/>
        </w:rPr>
        <w:t>15</w:t>
      </w:r>
      <w:r>
        <w:rPr>
          <w:rFonts w:hint="eastAsia" w:ascii="仿宋" w:hAnsi="仿宋" w:eastAsia="仿宋" w:cs="仿宋"/>
          <w:color w:val="auto"/>
          <w:spacing w:val="-2"/>
          <w:kern w:val="0"/>
          <w:sz w:val="30"/>
          <w:szCs w:val="30"/>
        </w:rPr>
        <w:t>处。按行政区域分，葛公镇24处，官港镇24处，花园乡10处，木塔乡26处，泥溪镇14处，尧渡镇12处，龙泉镇11处，昭潭镇7处，洋湖镇6处，青山乡5处，香隅镇5处，张溪镇3处。</w:t>
      </w:r>
      <w:r>
        <w:rPr>
          <w:rFonts w:hint="eastAsia" w:ascii="仿宋" w:hAnsi="仿宋" w:eastAsia="仿宋" w:cs="仿宋"/>
          <w:color w:val="auto"/>
          <w:spacing w:val="-2"/>
          <w:kern w:val="0"/>
          <w:sz w:val="30"/>
          <w:szCs w:val="30"/>
          <w:lang w:val="en-US" w:eastAsia="zh-CN"/>
        </w:rPr>
        <w:t>可见，隐患点主要分布于东至县中东部官港镇、葛公镇、木塔乡的低山丘陵地区。其中，木塔乡隐患点密度最大，达10.78个/100平方公里，其次为官港镇和葛公镇，分别为9.85个/100平方公里、9.53个/100平方公里。地质灾害隐患点分布情况统计表详见表1-1。</w:t>
      </w:r>
    </w:p>
    <w:p>
      <w:pPr>
        <w:bidi w:val="0"/>
        <w:spacing w:after="0" w:line="240" w:lineRule="auto"/>
        <w:ind w:firstLine="480" w:firstLineChars="200"/>
        <w:jc w:val="center"/>
        <w:rPr>
          <w:rFonts w:ascii="黑体" w:hAnsi="黑体" w:eastAsia="黑体" w:cs="仿宋"/>
          <w:color w:val="auto"/>
          <w:kern w:val="0"/>
          <w:sz w:val="24"/>
          <w:szCs w:val="22"/>
          <w:lang w:eastAsia="en-US"/>
        </w:rPr>
      </w:pPr>
      <w:r>
        <w:rPr>
          <w:rFonts w:ascii="黑体" w:hAnsi="黑体" w:eastAsia="黑体" w:cs="仿宋"/>
          <w:color w:val="auto"/>
          <w:kern w:val="0"/>
          <w:sz w:val="24"/>
          <w:szCs w:val="22"/>
          <w:lang w:eastAsia="en-US"/>
        </w:rPr>
        <w:t>地质灾害隐患点</w:t>
      </w:r>
      <w:r>
        <w:rPr>
          <w:rFonts w:hint="eastAsia" w:ascii="黑体" w:hAnsi="黑体" w:eastAsia="黑体" w:cs="仿宋"/>
          <w:color w:val="auto"/>
          <w:kern w:val="0"/>
          <w:sz w:val="24"/>
          <w:szCs w:val="22"/>
          <w:lang w:val="en-US" w:eastAsia="zh-CN"/>
        </w:rPr>
        <w:t>分布情况</w:t>
      </w:r>
      <w:r>
        <w:rPr>
          <w:rFonts w:ascii="黑体" w:hAnsi="黑体" w:eastAsia="黑体" w:cs="仿宋"/>
          <w:color w:val="auto"/>
          <w:kern w:val="0"/>
          <w:sz w:val="24"/>
          <w:szCs w:val="22"/>
          <w:lang w:eastAsia="en-US"/>
        </w:rPr>
        <w:t>统计</w:t>
      </w:r>
      <w:r>
        <w:rPr>
          <w:rFonts w:hint="eastAsia" w:ascii="黑体" w:hAnsi="黑体" w:eastAsia="黑体" w:cs="仿宋"/>
          <w:color w:val="auto"/>
          <w:kern w:val="0"/>
          <w:sz w:val="24"/>
          <w:szCs w:val="22"/>
          <w:lang w:eastAsia="en-US"/>
        </w:rPr>
        <w:t>表</w:t>
      </w:r>
      <w:r>
        <w:rPr>
          <w:rFonts w:hint="eastAsia" w:ascii="黑体" w:hAnsi="黑体" w:eastAsia="黑体" w:cs="仿宋"/>
          <w:color w:val="auto"/>
          <w:kern w:val="0"/>
          <w:sz w:val="24"/>
          <w:szCs w:val="22"/>
          <w:lang w:val="en-US" w:eastAsia="zh-CN"/>
        </w:rPr>
        <w:t xml:space="preserve"> </w:t>
      </w:r>
      <w:r>
        <w:rPr>
          <w:rFonts w:hint="eastAsia" w:ascii="黑体" w:hAnsi="黑体" w:eastAsia="黑体" w:cs="仿宋"/>
          <w:color w:val="auto"/>
          <w:kern w:val="0"/>
          <w:sz w:val="24"/>
          <w:szCs w:val="22"/>
          <w:lang w:eastAsia="en-US"/>
        </w:rPr>
        <w:t>表1-</w:t>
      </w:r>
      <w:r>
        <w:rPr>
          <w:rFonts w:ascii="黑体" w:hAnsi="黑体" w:eastAsia="黑体" w:cs="仿宋"/>
          <w:color w:val="auto"/>
          <w:kern w:val="0"/>
          <w:sz w:val="24"/>
          <w:szCs w:val="22"/>
          <w:lang w:eastAsia="en-US"/>
        </w:rPr>
        <w:t>1</w:t>
      </w:r>
    </w:p>
    <w:tbl>
      <w:tblPr>
        <w:tblStyle w:val="30"/>
        <w:tblW w:w="4999" w:type="pct"/>
        <w:tblInd w:w="0" w:type="dxa"/>
        <w:shd w:val="clear" w:color="auto" w:fill="auto"/>
        <w:tblLayout w:type="autofit"/>
        <w:tblCellMar>
          <w:top w:w="0" w:type="dxa"/>
          <w:left w:w="0" w:type="dxa"/>
          <w:bottom w:w="0" w:type="dxa"/>
          <w:right w:w="0" w:type="dxa"/>
        </w:tblCellMar>
      </w:tblPr>
      <w:tblGrid>
        <w:gridCol w:w="1010"/>
        <w:gridCol w:w="1010"/>
        <w:gridCol w:w="1010"/>
        <w:gridCol w:w="1010"/>
        <w:gridCol w:w="1010"/>
        <w:gridCol w:w="1010"/>
        <w:gridCol w:w="1010"/>
        <w:gridCol w:w="1010"/>
        <w:gridCol w:w="1247"/>
      </w:tblGrid>
      <w:tr>
        <w:tblPrEx>
          <w:tblCellMar>
            <w:top w:w="0" w:type="dxa"/>
            <w:left w:w="0" w:type="dxa"/>
            <w:bottom w:w="0" w:type="dxa"/>
            <w:right w:w="0" w:type="dxa"/>
          </w:tblCellMar>
        </w:tblPrEx>
        <w:trPr>
          <w:trHeight w:val="300" w:hRule="atLeast"/>
        </w:trPr>
        <w:tc>
          <w:tcPr>
            <w:tcW w:w="541" w:type="pct"/>
            <w:vMerge w:val="restar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序号</w:t>
            </w:r>
          </w:p>
        </w:tc>
        <w:tc>
          <w:tcPr>
            <w:tcW w:w="541" w:type="pct"/>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镇</w:t>
            </w:r>
          </w:p>
        </w:tc>
        <w:tc>
          <w:tcPr>
            <w:tcW w:w="541" w:type="pct"/>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滑坡（个）</w:t>
            </w:r>
          </w:p>
        </w:tc>
        <w:tc>
          <w:tcPr>
            <w:tcW w:w="541" w:type="pct"/>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崩塌（个）</w:t>
            </w:r>
          </w:p>
        </w:tc>
        <w:tc>
          <w:tcPr>
            <w:tcW w:w="541" w:type="pct"/>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泥石流（个）</w:t>
            </w:r>
          </w:p>
        </w:tc>
        <w:tc>
          <w:tcPr>
            <w:tcW w:w="541" w:type="pct"/>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地面</w:t>
            </w:r>
          </w:p>
        </w:tc>
        <w:tc>
          <w:tcPr>
            <w:tcW w:w="541" w:type="pct"/>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合计</w:t>
            </w:r>
          </w:p>
        </w:tc>
        <w:tc>
          <w:tcPr>
            <w:tcW w:w="541" w:type="pct"/>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面积</w:t>
            </w:r>
          </w:p>
        </w:tc>
        <w:tc>
          <w:tcPr>
            <w:tcW w:w="668" w:type="pct"/>
            <w:tcBorders>
              <w:top w:val="single" w:color="000000" w:sz="8" w:space="0"/>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灾点密度</w:t>
            </w:r>
          </w:p>
        </w:tc>
      </w:tr>
      <w:tr>
        <w:tblPrEx>
          <w:tblCellMar>
            <w:top w:w="0" w:type="dxa"/>
            <w:left w:w="0" w:type="dxa"/>
            <w:bottom w:w="0" w:type="dxa"/>
            <w:right w:w="0" w:type="dxa"/>
          </w:tblCellMar>
        </w:tblPrEx>
        <w:trPr>
          <w:trHeight w:val="810" w:hRule="atLeast"/>
        </w:trPr>
        <w:tc>
          <w:tcPr>
            <w:tcW w:w="541"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塌陷</w:t>
            </w: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（km</w:t>
            </w:r>
            <w:r>
              <w:rPr>
                <w:rStyle w:val="60"/>
                <w:color w:val="auto"/>
                <w:lang w:val="en-US" w:eastAsia="zh-CN" w:bidi="ar"/>
              </w:rPr>
              <w:t>2</w:t>
            </w:r>
            <w:r>
              <w:rPr>
                <w:rStyle w:val="61"/>
                <w:color w:val="auto"/>
                <w:lang w:val="en-US" w:eastAsia="zh-CN" w:bidi="ar"/>
              </w:rPr>
              <w:t>）</w:t>
            </w:r>
          </w:p>
        </w:tc>
        <w:tc>
          <w:tcPr>
            <w:tcW w:w="668" w:type="pct"/>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（个/100km</w:t>
            </w:r>
            <w:r>
              <w:rPr>
                <w:rStyle w:val="60"/>
                <w:color w:val="auto"/>
                <w:lang w:val="en-US" w:eastAsia="zh-CN" w:bidi="ar"/>
              </w:rPr>
              <w:t>2</w:t>
            </w:r>
            <w:r>
              <w:rPr>
                <w:rStyle w:val="61"/>
                <w:color w:val="auto"/>
                <w:lang w:val="en-US" w:eastAsia="zh-CN" w:bidi="ar"/>
              </w:rPr>
              <w:t>）</w:t>
            </w:r>
          </w:p>
        </w:tc>
      </w:tr>
      <w:tr>
        <w:tblPrEx>
          <w:shd w:val="clear" w:color="auto" w:fill="auto"/>
          <w:tblCellMar>
            <w:top w:w="0" w:type="dxa"/>
            <w:left w:w="0" w:type="dxa"/>
            <w:bottom w:w="0" w:type="dxa"/>
            <w:right w:w="0" w:type="dxa"/>
          </w:tblCellMar>
        </w:tblPrEx>
        <w:trPr>
          <w:trHeight w:val="300" w:hRule="atLeast"/>
        </w:trPr>
        <w:tc>
          <w:tcPr>
            <w:tcW w:w="541" w:type="pct"/>
            <w:vMerge w:val="continue"/>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（个）</w:t>
            </w:r>
          </w:p>
        </w:tc>
        <w:tc>
          <w:tcPr>
            <w:tcW w:w="541" w:type="pct"/>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auto"/>
                <w:sz w:val="24"/>
                <w:szCs w:val="24"/>
                <w:u w:val="none"/>
              </w:rPr>
            </w:pP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auto"/>
                <w:sz w:val="24"/>
                <w:szCs w:val="24"/>
                <w:u w:val="none"/>
              </w:rPr>
            </w:pPr>
          </w:p>
        </w:tc>
      </w:tr>
      <w:tr>
        <w:tblPrEx>
          <w:shd w:val="clear" w:color="auto" w:fill="auto"/>
          <w:tblCellMar>
            <w:top w:w="0" w:type="dxa"/>
            <w:left w:w="0" w:type="dxa"/>
            <w:bottom w:w="0" w:type="dxa"/>
            <w:right w:w="0" w:type="dxa"/>
          </w:tblCellMar>
        </w:tblPrEx>
        <w:trPr>
          <w:trHeight w:val="315"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葛公镇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9</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12</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251.95</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9.53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官港镇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9</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15</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0</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243.66</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9.85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花园乡</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0</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249.75</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4.00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龙泉镇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185.75</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5.92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木塔乡</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9</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17</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26</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241.19</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10.78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泥溪镇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8</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183.47</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7.63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7</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青山乡</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103.64</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4.82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8</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香隅镇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5</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227.03</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2.20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9</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洋湖镇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0</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178.9</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3.35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10</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尧渡镇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2</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12</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419.81</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2.86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11</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张溪镇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0</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310.58</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0.97 </w:t>
            </w:r>
          </w:p>
        </w:tc>
      </w:tr>
      <w:tr>
        <w:tblPrEx>
          <w:shd w:val="clear" w:color="auto" w:fill="auto"/>
          <w:tblCellMar>
            <w:top w:w="0" w:type="dxa"/>
            <w:left w:w="0" w:type="dxa"/>
            <w:bottom w:w="0" w:type="dxa"/>
            <w:right w:w="0" w:type="dxa"/>
          </w:tblCellMar>
        </w:tblPrEx>
        <w:trPr>
          <w:trHeight w:val="300" w:hRule="atLeast"/>
        </w:trPr>
        <w:tc>
          <w:tcPr>
            <w:tcW w:w="541"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12</w:t>
            </w:r>
          </w:p>
        </w:tc>
        <w:tc>
          <w:tcPr>
            <w:tcW w:w="5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昭潭镇</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6</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1"/>
                <w:szCs w:val="21"/>
                <w:u w:val="none"/>
              </w:rPr>
            </w:pP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7</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151.66</w:t>
            </w: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1"/>
                <w:szCs w:val="21"/>
                <w:u w:val="none"/>
              </w:rPr>
            </w:pPr>
            <w:r>
              <w:rPr>
                <w:rFonts w:hint="eastAsia" w:ascii="宋体" w:hAnsi="宋体" w:eastAsia="宋体" w:cs="宋体"/>
                <w:i w:val="0"/>
                <w:color w:val="auto"/>
                <w:kern w:val="0"/>
                <w:sz w:val="21"/>
                <w:szCs w:val="21"/>
                <w:u w:val="none"/>
                <w:lang w:val="en-US" w:eastAsia="zh-CN" w:bidi="ar"/>
              </w:rPr>
              <w:t xml:space="preserve">4.62 </w:t>
            </w:r>
          </w:p>
        </w:tc>
      </w:tr>
      <w:tr>
        <w:tblPrEx>
          <w:shd w:val="clear" w:color="auto" w:fill="auto"/>
          <w:tblCellMar>
            <w:top w:w="0" w:type="dxa"/>
            <w:left w:w="0" w:type="dxa"/>
            <w:bottom w:w="0" w:type="dxa"/>
            <w:right w:w="0" w:type="dxa"/>
          </w:tblCellMar>
        </w:tblPrEx>
        <w:trPr>
          <w:trHeight w:val="300" w:hRule="atLeast"/>
        </w:trPr>
        <w:tc>
          <w:tcPr>
            <w:tcW w:w="1082" w:type="pct"/>
            <w:gridSpan w:val="2"/>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合计</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53</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85</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5</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4</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keepNext w:val="0"/>
              <w:keepLines w:val="0"/>
              <w:widowControl/>
              <w:suppressLineNumbers w:val="0"/>
              <w:jc w:val="center"/>
              <w:textAlignment w:val="bottom"/>
              <w:rPr>
                <w:rFonts w:hint="eastAsia" w:ascii="宋体" w:hAnsi="宋体" w:eastAsia="宋体" w:cs="宋体"/>
                <w:b/>
                <w:i w:val="0"/>
                <w:color w:val="auto"/>
                <w:sz w:val="21"/>
                <w:szCs w:val="21"/>
                <w:u w:val="none"/>
              </w:rPr>
            </w:pPr>
            <w:r>
              <w:rPr>
                <w:rFonts w:hint="eastAsia" w:ascii="宋体" w:hAnsi="宋体" w:eastAsia="宋体" w:cs="宋体"/>
                <w:b/>
                <w:i w:val="0"/>
                <w:color w:val="auto"/>
                <w:kern w:val="0"/>
                <w:sz w:val="21"/>
                <w:szCs w:val="21"/>
                <w:u w:val="none"/>
                <w:lang w:val="en-US" w:eastAsia="zh-CN" w:bidi="ar"/>
              </w:rPr>
              <w:t>147</w:t>
            </w:r>
          </w:p>
        </w:tc>
        <w:tc>
          <w:tcPr>
            <w:tcW w:w="541" w:type="pct"/>
            <w:tcBorders>
              <w:top w:val="nil"/>
              <w:left w:val="nil"/>
              <w:bottom w:val="single" w:color="000000" w:sz="8" w:space="0"/>
              <w:right w:val="single" w:color="000000" w:sz="8" w:space="0"/>
            </w:tcBorders>
            <w:shd w:val="clear" w:color="auto" w:fill="auto"/>
            <w:noWrap/>
            <w:tcMar>
              <w:top w:w="15" w:type="dxa"/>
              <w:left w:w="15" w:type="dxa"/>
              <w:right w:w="15" w:type="dxa"/>
            </w:tcMar>
            <w:vAlign w:val="bottom"/>
          </w:tcPr>
          <w:p>
            <w:pPr>
              <w:jc w:val="center"/>
              <w:rPr>
                <w:rFonts w:hint="eastAsia" w:ascii="宋体" w:hAnsi="宋体" w:eastAsia="宋体" w:cs="宋体"/>
                <w:i w:val="0"/>
                <w:color w:val="auto"/>
                <w:sz w:val="21"/>
                <w:szCs w:val="21"/>
                <w:u w:val="none"/>
              </w:rPr>
            </w:pPr>
          </w:p>
        </w:tc>
        <w:tc>
          <w:tcPr>
            <w:tcW w:w="668"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rPr>
                <w:rFonts w:hint="eastAsia" w:ascii="宋体" w:hAnsi="宋体" w:eastAsia="宋体" w:cs="宋体"/>
                <w:i w:val="0"/>
                <w:color w:val="auto"/>
                <w:sz w:val="24"/>
                <w:szCs w:val="24"/>
                <w:u w:val="none"/>
              </w:rPr>
            </w:pP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1.</w:t>
      </w:r>
      <w:r>
        <w:rPr>
          <w:rFonts w:hint="eastAsia" w:ascii="仿宋" w:hAnsi="仿宋" w:eastAsia="仿宋"/>
          <w:color w:val="auto"/>
          <w:sz w:val="30"/>
          <w:szCs w:val="30"/>
          <w:lang w:val="en-US" w:eastAsia="zh-CN"/>
        </w:rPr>
        <w:t>崩塌</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崩塌是东至县突发性地质灾害的主要灾种之一。据调查，全县现存 崩塌隐患85处，占地质灾害隐患总数的 57.8%，威胁户数226户，威胁人口865人，威胁财产3365万元。险情等级均属小型。主要分布在区内山区、丘陵区居民屋后切坡、公路高陡切坡地段，以206 国道切坡崩塌发育较为集中。工程活动和汛期强降水是崩塌的主要诱发因素，灾害多集中发生在雨季。</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2.</w:t>
      </w:r>
      <w:r>
        <w:rPr>
          <w:rFonts w:hint="eastAsia" w:ascii="仿宋" w:hAnsi="仿宋" w:eastAsia="仿宋"/>
          <w:color w:val="auto"/>
          <w:sz w:val="30"/>
          <w:szCs w:val="30"/>
          <w:lang w:val="en-US" w:eastAsia="zh-CN"/>
        </w:rPr>
        <w:t>滑坡</w:t>
      </w:r>
      <w:r>
        <w:rPr>
          <w:rFonts w:hint="eastAsia" w:ascii="仿宋" w:hAnsi="仿宋" w:eastAsia="仿宋" w:cs="仿宋"/>
          <w:color w:val="auto"/>
          <w:spacing w:val="-2"/>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滑坡是东至县突发性地质灾害的主要灾种。据调查，全县现存滑坡53 处，占地质灾害隐患总数的36.0%，威胁户数127户，威胁人口424人，威胁财产2107万元。险情等级均属小型。滑坡地质灾害在山区和丘陵区均较为发育。大部分滑坡是由强降水所诱发，多集中发生在雨季，少部分与切坡及植被破坏等人类工程活动有关。</w:t>
      </w:r>
    </w:p>
    <w:p>
      <w:pPr>
        <w:autoSpaceDE w:val="0"/>
        <w:autoSpaceDN w:val="0"/>
        <w:adjustRightInd w:val="0"/>
        <w:snapToGrid w:val="0"/>
        <w:spacing w:line="360" w:lineRule="auto"/>
        <w:ind w:firstLine="592" w:firstLineChars="200"/>
        <w:jc w:val="left"/>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3.泥石流</w:t>
      </w:r>
    </w:p>
    <w:p>
      <w:pPr>
        <w:autoSpaceDE w:val="0"/>
        <w:autoSpaceDN w:val="0"/>
        <w:adjustRightInd w:val="0"/>
        <w:snapToGrid w:val="0"/>
        <w:spacing w:line="360" w:lineRule="auto"/>
        <w:ind w:firstLine="592" w:firstLineChars="200"/>
        <w:jc w:val="left"/>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据调查，全县共存流石流隐患5处，占地质灾害隐患总数的 3.4%，威胁户数41户，威胁人口149人，威胁财产342万元。险情等级均属小型。泥石流地质灾害在山区和丘陵区均有分布。 汛期强降水是泥石流的主要诱发因素，灾害多集中发生在雨季。</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4.岩溶</w:t>
      </w:r>
      <w:r>
        <w:rPr>
          <w:rFonts w:hint="eastAsia" w:ascii="仿宋" w:hAnsi="仿宋" w:eastAsia="仿宋"/>
          <w:color w:val="auto"/>
          <w:sz w:val="30"/>
          <w:szCs w:val="30"/>
          <w:lang w:val="en-US" w:eastAsia="zh-CN"/>
        </w:rPr>
        <w:t>塌陷</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全县现存岩溶塌陷3处，占地质灾害隐患总数的2.0%，威胁户数2户，威胁人口11人，威胁财产25万元。险情等级均属小型。主要分布于洋湖镇等地碳酸盐岩隐伏区，大部分为自然因素所引起，个别为矿山抽排水所诱发。</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5.采空塌陷</w:t>
      </w:r>
    </w:p>
    <w:p>
      <w:pPr>
        <w:keepNext w:val="0"/>
        <w:keepLines w:val="0"/>
        <w:pageBreakBefore w:val="0"/>
        <w:widowControl w:val="0"/>
        <w:kinsoku/>
        <w:wordWrap/>
        <w:overflowPunct/>
        <w:topLinePunct w:val="0"/>
        <w:autoSpaceDE/>
        <w:autoSpaceDN/>
        <w:bidi w:val="0"/>
        <w:adjustRightInd w:val="0"/>
        <w:snapToGrid w:val="0"/>
        <w:spacing w:line="360" w:lineRule="auto"/>
        <w:ind w:firstLine="592" w:firstLineChars="200"/>
        <w:textAlignment w:val="auto"/>
        <w:rPr>
          <w:rFonts w:hint="eastAsia" w:ascii="仿宋" w:hAnsi="仿宋" w:eastAsia="仿宋" w:cs="仿宋"/>
          <w:color w:val="auto"/>
          <w:spacing w:val="-2"/>
          <w:kern w:val="0"/>
          <w:sz w:val="30"/>
          <w:szCs w:val="30"/>
          <w:lang w:val="en-US" w:eastAsia="zh-CN"/>
        </w:rPr>
      </w:pPr>
      <w:r>
        <w:rPr>
          <w:rFonts w:hint="eastAsia" w:ascii="仿宋" w:hAnsi="仿宋" w:eastAsia="仿宋" w:cs="仿宋"/>
          <w:color w:val="auto"/>
          <w:spacing w:val="-2"/>
          <w:kern w:val="0"/>
          <w:sz w:val="30"/>
          <w:szCs w:val="30"/>
          <w:lang w:val="en-US" w:eastAsia="zh-CN"/>
        </w:rPr>
        <w:t>全县现存采空塌陷隐患点1处，占地质灾害隐患总数的0.6%，威胁户数9户，威胁人口35人，威胁财产25万元，险情等级均属小型。分布于张溪镇，主要由矿山开采所造成。</w:t>
      </w:r>
    </w:p>
    <w:p>
      <w:pPr>
        <w:pStyle w:val="6"/>
        <w:ind w:firstLine="643" w:firstLineChars="200"/>
        <w:rPr>
          <w:color w:val="auto"/>
        </w:rPr>
      </w:pPr>
      <w:bookmarkStart w:id="35" w:name="_Toc26464"/>
      <w:r>
        <w:rPr>
          <w:rFonts w:hint="eastAsia"/>
          <w:color w:val="auto"/>
        </w:rPr>
        <w:t>（四）地质灾害发展趋势</w:t>
      </w:r>
      <w:bookmarkEnd w:id="33"/>
      <w:bookmarkEnd w:id="34"/>
      <w:bookmarkEnd w:id="3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根据东至县地质</w:t>
      </w:r>
      <w:r>
        <w:rPr>
          <w:rFonts w:hint="eastAsia" w:ascii="仿宋" w:hAnsi="仿宋" w:eastAsia="仿宋"/>
          <w:color w:val="auto"/>
          <w:sz w:val="30"/>
          <w:szCs w:val="30"/>
          <w:lang w:val="en-US" w:eastAsia="zh-CN"/>
        </w:rPr>
        <w:t>环境</w:t>
      </w:r>
      <w:r>
        <w:rPr>
          <w:rFonts w:hint="eastAsia" w:ascii="仿宋" w:hAnsi="仿宋" w:eastAsia="仿宋" w:cs="Times New Roman"/>
          <w:color w:val="auto"/>
          <w:kern w:val="2"/>
          <w:sz w:val="30"/>
          <w:szCs w:val="30"/>
          <w:lang w:val="en-US" w:eastAsia="zh-CN" w:bidi="ar-SA"/>
        </w:rPr>
        <w:t>背景、地质灾害分布规律、隐患点稳定状态和相关气象资料，同时考虑到规划期间经济建设步伐不断加快，人类工程活动越发强烈等相关因素，预测分析规划期间东至县地质灾害发生的类型、时间分布都不会有太大的变化。但各类自然因素和人为因素的时空分布将出现新变化，崩塌、滑坡等部分类型地质灾害发生的频率有所变化，主要表现为：随着全球气候变暖，强降水等极端气象事件频发，崩塌、滑坡、泥石流等地质灾害发生的频率将呈上升趋势；人类工程活动加剧，山区切坡建房所引发的地质灾害隐患已成为东至县地质灾害防治工作的重点和难点。东至县东南部的葛公镇、木塔乡和尧渡镇是地质灾害的高易发区，受气象因素的影响，每年5-9 月为东至县地质灾害高发期，崩塌、滑坡地质灾害发生的可能性很大，防灾减灾形势较为严峻。</w:t>
      </w:r>
    </w:p>
    <w:p>
      <w:pPr>
        <w:pStyle w:val="6"/>
        <w:ind w:firstLine="643" w:firstLineChars="200"/>
        <w:rPr>
          <w:rFonts w:hint="eastAsia" w:ascii="Arial" w:hAnsi="Arial" w:eastAsia="仿宋" w:cs="Times New Roman"/>
          <w:b/>
          <w:bCs w:val="0"/>
          <w:color w:val="auto"/>
          <w:kern w:val="44"/>
          <w:sz w:val="32"/>
          <w:szCs w:val="30"/>
          <w:lang w:val="en-US" w:eastAsia="zh-CN" w:bidi="ar-SA"/>
        </w:rPr>
      </w:pPr>
      <w:bookmarkStart w:id="36" w:name="_Toc19694"/>
      <w:r>
        <w:rPr>
          <w:rFonts w:hint="eastAsia" w:ascii="Arial" w:hAnsi="Arial" w:eastAsia="仿宋" w:cs="Times New Roman"/>
          <w:b/>
          <w:bCs w:val="0"/>
          <w:color w:val="auto"/>
          <w:kern w:val="44"/>
          <w:sz w:val="32"/>
          <w:szCs w:val="30"/>
          <w:lang w:val="en-US" w:eastAsia="zh-CN" w:bidi="ar-SA"/>
        </w:rPr>
        <w:t>（五）地质灾害防治工作面临的形势</w:t>
      </w:r>
      <w:bookmarkEnd w:id="36"/>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党中央、国务院、省委、省政府、市委、市政府及县委、县政府历来高度重视地质灾害防治工作。党的十九大报告中明确提出“加强地质灾害防治”。2018年10月，习近平总书记在中央财经委员会第三次会议上指出，要建立高效科学的自然灾害防治体系，提高全社会自然灾害防治能力，为保护人民群众生命财产安全和国家安全提供有力保障。2020年8月18-21日，习近平总书记又亲临安徽考察并作出重要讲话，要求做好防汛救灾和灾后恢复重建工作。</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全县地质灾害防治形势依然严峻。一是孕育地质灾害背景条件的复杂性没有发生改变；二是气象条件依然复杂多变，极端气象事件呈多发频发态势；三是地震威胁依然存在，预测预报仍是世界性难题；四是人类工程活动加剧,偏远山区切坡建房引发的地质灾害时有发生，已成为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地质灾害防治工作的重点和难点。每年5-9月，均是全县突发性地质灾害的高发期，崩塌、滑坡、泥石流等地质灾害发生的可能性很大，防灾减灾形势依然严峻。</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目前，全县地质灾害防治工作还存在不少问题和薄弱环节，“十四五”防灾工作仍面临诸多挑战。一是地质灾害隐患识别能力有待提高。地质灾害生成机理复杂，具有很强的隐蔽性、动态性、复杂性、差异性和不确定性，受工作精度、技术方法和手段等多种因素影响，风险隐患尚不能及时有效识别。二是地质灾害风险区亟需划定。全县尚有一定地质灾害隐患未被查明，由于人类工程活动的加剧，极端天气的不确定性，增加了地质灾害的防治难度，致使每年新发生的灾险情80%以上不在已查明的隐患点上，有必要尽快查清地质灾害风险底数，划定地质灾害风险区，以提高全县风险区管控能力。三是监测预警智能化水平亟待提升。目前全县地质灾害监测预警主要依靠群测群防，监测手段较为落后；专业监测工作刚刚起步，多数已知隐患点没有安装监测预警设备，地质灾害何时发生的问题仍难以解决，应尽快推进智能化监测预警工作，提升预报预警的精准度。四是地质灾害综合治理任务依然艰巨。截至“十三五”末，全县共有崩塌85处、滑坡53处、泥石流5处、地面塌陷4处，需要通过搬迁避让或工程治理等措施来消除隐患威胁。五是地质灾害防治能力仍需加强。根据大数据、人工智能等新技术的发展趋势以及基层防灾需求，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需快速提升地质灾害防治信息化水平，加强地质灾害生成机理、隐患早期识别、精准预警等关键技术研究，尽快推广应用地质灾害防治新技术、新方法和新装备，全面提升地质灾害防治能力。六是地质灾害防治与国土空间规划和用途管制统筹不够，从源头控制地质灾害风险亟需加强。</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面对问题和挑战，全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各级政府及自然资源主管部门需高度重视，在坚持过去行之有效做法的基础上，需总结经验，积极探索更加有针对性的措施，切实提高全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地质灾害防治工作水平。我们必须进一步增强做好防灾减灾工作的责任感和使命感，以更高的标准、更严的要求、更实的措施、更大的力度，科学谋划，统筹安排，全力推动新时期防灾减灾工作快速发展。</w:t>
      </w:r>
      <w:r>
        <w:rPr>
          <w:rFonts w:ascii="仿宋" w:hAnsi="仿宋" w:eastAsia="仿宋"/>
          <w:color w:val="auto"/>
          <w:sz w:val="30"/>
          <w:szCs w:val="30"/>
        </w:rPr>
        <w:t>做好地质灾害防治工作责任重大、使命光荣，重在凝心聚力、奋发进取</w:t>
      </w:r>
      <w:r>
        <w:rPr>
          <w:rFonts w:hint="eastAsia" w:ascii="仿宋" w:hAnsi="仿宋" w:eastAsia="仿宋"/>
          <w:color w:val="auto"/>
          <w:sz w:val="30"/>
          <w:szCs w:val="30"/>
        </w:rPr>
        <w:t>；</w:t>
      </w:r>
      <w:r>
        <w:rPr>
          <w:rFonts w:ascii="仿宋" w:hAnsi="仿宋" w:eastAsia="仿宋"/>
          <w:color w:val="auto"/>
          <w:sz w:val="30"/>
          <w:szCs w:val="30"/>
        </w:rPr>
        <w:t>重在开拓创新、求真务实。</w:t>
      </w:r>
    </w:p>
    <w:p>
      <w:pPr>
        <w:keepNext w:val="0"/>
        <w:keepLines w:val="0"/>
        <w:pageBreakBefore w:val="0"/>
        <w:widowControl w:val="0"/>
        <w:numPr>
          <w:ilvl w:val="0"/>
          <w:numId w:val="1"/>
        </w:numPr>
        <w:kinsoku/>
        <w:wordWrap/>
        <w:overflowPunct/>
        <w:topLinePunct w:val="0"/>
        <w:autoSpaceDE/>
        <w:autoSpaceDN/>
        <w:bidi w:val="0"/>
        <w:adjustRightInd w:val="0"/>
        <w:snapToGrid w:val="0"/>
        <w:spacing w:line="520" w:lineRule="exact"/>
        <w:ind w:left="0" w:leftChars="0" w:firstLine="723" w:firstLineChars="200"/>
        <w:jc w:val="both"/>
        <w:textAlignment w:val="auto"/>
        <w:outlineLvl w:val="0"/>
        <w:rPr>
          <w:rFonts w:hint="eastAsia" w:ascii="Arial" w:hAnsi="Arial"/>
          <w:b/>
          <w:color w:val="auto"/>
          <w:kern w:val="44"/>
          <w:sz w:val="36"/>
          <w:szCs w:val="30"/>
        </w:rPr>
      </w:pPr>
      <w:bookmarkStart w:id="37" w:name="_Toc17601"/>
      <w:r>
        <w:rPr>
          <w:rFonts w:hint="eastAsia" w:ascii="Arial" w:hAnsi="Arial"/>
          <w:b/>
          <w:color w:val="auto"/>
          <w:kern w:val="44"/>
          <w:sz w:val="36"/>
          <w:szCs w:val="30"/>
        </w:rPr>
        <w:t>《规划》 编制原则和基本思路</w:t>
      </w:r>
      <w:bookmarkEnd w:id="37"/>
    </w:p>
    <w:p>
      <w:pPr>
        <w:pStyle w:val="6"/>
        <w:ind w:firstLine="643" w:firstLineChars="200"/>
        <w:rPr>
          <w:color w:val="auto"/>
        </w:rPr>
      </w:pPr>
      <w:bookmarkStart w:id="38" w:name="_Toc14143"/>
      <w:bookmarkStart w:id="39" w:name="_Toc51319832"/>
      <w:r>
        <w:rPr>
          <w:rFonts w:hint="eastAsia"/>
          <w:color w:val="auto"/>
        </w:rPr>
        <w:t>（一）规划编制原则</w:t>
      </w:r>
      <w:bookmarkEnd w:id="38"/>
      <w:bookmarkEnd w:id="39"/>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地质灾害</w:t>
      </w:r>
      <w:r>
        <w:rPr>
          <w:rFonts w:hint="eastAsia" w:ascii="仿宋" w:hAnsi="仿宋" w:eastAsia="仿宋"/>
          <w:color w:val="auto"/>
          <w:sz w:val="30"/>
          <w:szCs w:val="30"/>
        </w:rPr>
        <w:t>防治</w:t>
      </w:r>
      <w:r>
        <w:rPr>
          <w:rFonts w:ascii="仿宋" w:hAnsi="仿宋" w:eastAsia="仿宋"/>
          <w:color w:val="auto"/>
          <w:sz w:val="30"/>
          <w:szCs w:val="30"/>
        </w:rPr>
        <w:t>是一项复杂、系统、长期的工作,与人民群众生命财产安全息息相关，与国家重大战略安全实施密不可分，与生态文明建设紧密相连。党的十八大</w:t>
      </w:r>
      <w:r>
        <w:rPr>
          <w:rFonts w:hint="eastAsia" w:ascii="仿宋" w:hAnsi="仿宋" w:eastAsia="仿宋"/>
          <w:color w:val="auto"/>
          <w:sz w:val="30"/>
          <w:szCs w:val="30"/>
        </w:rPr>
        <w:t>以来</w:t>
      </w:r>
      <w:r>
        <w:rPr>
          <w:rFonts w:ascii="仿宋" w:hAnsi="仿宋" w:eastAsia="仿宋"/>
          <w:color w:val="auto"/>
          <w:sz w:val="30"/>
          <w:szCs w:val="30"/>
        </w:rPr>
        <w:t>明确要求,要把生态文明建设放在突出地位,融入经济建设、政治建设、文化建设、社会建设各方面和全过程，要加强防灾减灾体系建设，提高气象、地质、地震灾害防御能力。</w:t>
      </w:r>
      <w:r>
        <w:rPr>
          <w:rFonts w:hint="eastAsia" w:ascii="仿宋" w:hAnsi="仿宋" w:eastAsia="仿宋"/>
          <w:color w:val="auto"/>
          <w:sz w:val="30"/>
          <w:szCs w:val="30"/>
        </w:rPr>
        <w:t>在党的十九大精神指引下，根据《国务院关于加强地质灾害防治工作的决定》，确定了本次规划编制原则。即：</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牢固树立以人为本理念，坚持</w:t>
      </w:r>
      <w:r>
        <w:rPr>
          <w:rFonts w:hint="eastAsia" w:ascii="仿宋" w:hAnsi="仿宋" w:eastAsia="仿宋"/>
          <w:color w:val="auto"/>
          <w:sz w:val="30"/>
          <w:szCs w:val="30"/>
        </w:rPr>
        <w:t>防灾为</w:t>
      </w:r>
      <w:r>
        <w:rPr>
          <w:rFonts w:ascii="仿宋" w:hAnsi="仿宋" w:eastAsia="仿宋"/>
          <w:color w:val="auto"/>
          <w:sz w:val="30"/>
          <w:szCs w:val="30"/>
        </w:rPr>
        <w:t>民、</w:t>
      </w:r>
      <w:r>
        <w:rPr>
          <w:rFonts w:hint="eastAsia" w:ascii="仿宋" w:hAnsi="仿宋" w:eastAsia="仿宋"/>
          <w:color w:val="auto"/>
          <w:sz w:val="30"/>
          <w:szCs w:val="30"/>
        </w:rPr>
        <w:t>减灾安</w:t>
      </w:r>
      <w:r>
        <w:rPr>
          <w:rFonts w:ascii="仿宋" w:hAnsi="仿宋" w:eastAsia="仿宋"/>
          <w:color w:val="auto"/>
          <w:sz w:val="30"/>
          <w:szCs w:val="30"/>
        </w:rPr>
        <w:t>民</w:t>
      </w:r>
      <w:r>
        <w:rPr>
          <w:rFonts w:hint="eastAsia" w:ascii="仿宋" w:hAnsi="仿宋" w:eastAsia="仿宋"/>
          <w:color w:val="auto"/>
          <w:sz w:val="30"/>
          <w:szCs w:val="30"/>
        </w:rPr>
        <w:t>，</w:t>
      </w:r>
      <w:r>
        <w:rPr>
          <w:rFonts w:ascii="仿宋" w:hAnsi="仿宋" w:eastAsia="仿宋"/>
          <w:color w:val="auto"/>
          <w:sz w:val="30"/>
          <w:szCs w:val="30"/>
        </w:rPr>
        <w:t>把人民</w:t>
      </w:r>
      <w:r>
        <w:rPr>
          <w:rFonts w:hint="eastAsia" w:ascii="仿宋" w:hAnsi="仿宋" w:eastAsia="仿宋"/>
          <w:color w:val="auto"/>
          <w:sz w:val="30"/>
          <w:szCs w:val="30"/>
        </w:rPr>
        <w:t>群众的</w:t>
      </w:r>
      <w:r>
        <w:rPr>
          <w:rFonts w:ascii="仿宋" w:hAnsi="仿宋" w:eastAsia="仿宋"/>
          <w:color w:val="auto"/>
          <w:sz w:val="30"/>
          <w:szCs w:val="30"/>
        </w:rPr>
        <w:t>利益作为</w:t>
      </w:r>
      <w:r>
        <w:rPr>
          <w:rFonts w:hint="eastAsia" w:ascii="仿宋" w:hAnsi="仿宋" w:eastAsia="仿宋"/>
          <w:color w:val="auto"/>
          <w:sz w:val="30"/>
          <w:szCs w:val="30"/>
        </w:rPr>
        <w:t>地质灾害防治</w:t>
      </w:r>
      <w:r>
        <w:rPr>
          <w:rFonts w:ascii="仿宋" w:hAnsi="仿宋" w:eastAsia="仿宋"/>
          <w:color w:val="auto"/>
          <w:sz w:val="30"/>
          <w:szCs w:val="30"/>
        </w:rPr>
        <w:t>工作的出发点和落脚点</w:t>
      </w:r>
      <w:r>
        <w:rPr>
          <w:rFonts w:hint="eastAsia"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强化丘陵山区居民建房安全选址管理，将地质灾害易发区和高风险区作为国土空间规划和用途管制的特殊地区，对不宜开展建设的区域进行严格控制，同时强化建设工程地质灾害危险性评估，从源头上管控地质灾害风险。</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完善地质灾害调查评价体系，加强地质灾害风险调查和风险评估，建立健全地质灾害易发区各村各户地质灾害风险信息，降低承灾对象遭遇地质灾害的风险，全面提高地质灾害调查质量，地质灾害发生在已排查出的隐患点和有危险性的切坡建房等数据库比例逐年提高。</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加强汛前地质灾害隐患排查，加强汛期地质灾害巡查，把汛期突遇地质灾害的风险降到最低</w:t>
      </w:r>
      <w:r>
        <w:rPr>
          <w:rFonts w:hint="eastAsia" w:ascii="仿宋" w:hAnsi="仿宋" w:eastAsia="仿宋"/>
          <w:color w:val="auto"/>
          <w:sz w:val="30"/>
          <w:szCs w:val="30"/>
          <w:lang w:eastAsia="zh-CN"/>
        </w:rPr>
        <w:t>，</w:t>
      </w:r>
      <w:r>
        <w:rPr>
          <w:rFonts w:hint="eastAsia" w:ascii="仿宋" w:hAnsi="仿宋" w:eastAsia="仿宋"/>
          <w:color w:val="auto"/>
          <w:sz w:val="30"/>
          <w:szCs w:val="30"/>
          <w:lang w:val="en-US" w:eastAsia="zh-CN"/>
        </w:rPr>
        <w:t>加强汛后地质灾害核查</w:t>
      </w:r>
      <w:r>
        <w:rPr>
          <w:rFonts w:hint="eastAsia" w:ascii="仿宋" w:hAnsi="仿宋" w:eastAsia="仿宋"/>
          <w:color w:val="auto"/>
          <w:sz w:val="30"/>
          <w:szCs w:val="30"/>
        </w:rPr>
        <w:t>。加强群测群防网格化建设，构建“五位一体”的地质灾害网格化管理体系。加强地质灾害防治技术研究，切实</w:t>
      </w:r>
      <w:r>
        <w:rPr>
          <w:rFonts w:ascii="仿宋" w:hAnsi="仿宋" w:eastAsia="仿宋"/>
          <w:color w:val="auto"/>
          <w:sz w:val="30"/>
          <w:szCs w:val="30"/>
        </w:rPr>
        <w:t>提高</w:t>
      </w:r>
      <w:r>
        <w:rPr>
          <w:rFonts w:hint="eastAsia" w:ascii="仿宋" w:hAnsi="仿宋" w:eastAsia="仿宋"/>
          <w:color w:val="auto"/>
          <w:sz w:val="30"/>
          <w:szCs w:val="30"/>
        </w:rPr>
        <w:t>地质灾害</w:t>
      </w:r>
      <w:r>
        <w:rPr>
          <w:rFonts w:ascii="仿宋" w:hAnsi="仿宋" w:eastAsia="仿宋"/>
          <w:color w:val="auto"/>
          <w:sz w:val="30"/>
          <w:szCs w:val="30"/>
        </w:rPr>
        <w:t>预警</w:t>
      </w:r>
      <w:r>
        <w:rPr>
          <w:rFonts w:hint="eastAsia" w:ascii="仿宋" w:hAnsi="仿宋" w:eastAsia="仿宋"/>
          <w:color w:val="auto"/>
          <w:sz w:val="30"/>
          <w:szCs w:val="30"/>
        </w:rPr>
        <w:t>预报</w:t>
      </w:r>
      <w:r>
        <w:rPr>
          <w:rFonts w:ascii="仿宋" w:hAnsi="仿宋" w:eastAsia="仿宋"/>
          <w:color w:val="auto"/>
          <w:sz w:val="30"/>
          <w:szCs w:val="30"/>
        </w:rPr>
        <w:t>的准确性和时效性</w:t>
      </w:r>
      <w:r>
        <w:rPr>
          <w:rFonts w:hint="eastAsia"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统筹</w:t>
      </w:r>
      <w:r>
        <w:rPr>
          <w:rFonts w:hint="eastAsia" w:ascii="仿宋" w:hAnsi="仿宋" w:eastAsia="仿宋"/>
          <w:color w:val="auto"/>
          <w:sz w:val="30"/>
          <w:szCs w:val="30"/>
        </w:rPr>
        <w:t>安排搬迁避让和工程治理、排危除险工作</w:t>
      </w:r>
      <w:r>
        <w:rPr>
          <w:rFonts w:ascii="仿宋" w:hAnsi="仿宋" w:eastAsia="仿宋"/>
          <w:color w:val="auto"/>
          <w:sz w:val="30"/>
          <w:szCs w:val="30"/>
        </w:rPr>
        <w:t>、</w:t>
      </w:r>
      <w:r>
        <w:rPr>
          <w:rFonts w:hint="eastAsia" w:ascii="仿宋" w:hAnsi="仿宋" w:eastAsia="仿宋"/>
          <w:color w:val="auto"/>
          <w:sz w:val="30"/>
          <w:szCs w:val="30"/>
        </w:rPr>
        <w:t>搬治</w:t>
      </w:r>
      <w:r>
        <w:rPr>
          <w:rFonts w:ascii="仿宋" w:hAnsi="仿宋" w:eastAsia="仿宋"/>
          <w:color w:val="auto"/>
          <w:sz w:val="30"/>
          <w:szCs w:val="30"/>
        </w:rPr>
        <w:t>并举</w:t>
      </w:r>
      <w:r>
        <w:rPr>
          <w:rFonts w:hint="eastAsia" w:ascii="仿宋" w:hAnsi="仿宋" w:eastAsia="仿宋"/>
          <w:color w:val="auto"/>
          <w:sz w:val="30"/>
          <w:szCs w:val="30"/>
        </w:rPr>
        <w:t>，以搬为先，以搬为主</w:t>
      </w:r>
      <w:r>
        <w:rPr>
          <w:rFonts w:ascii="仿宋" w:hAnsi="仿宋" w:eastAsia="仿宋"/>
          <w:color w:val="auto"/>
          <w:sz w:val="30"/>
          <w:szCs w:val="30"/>
        </w:rPr>
        <w:t>。</w:t>
      </w:r>
      <w:r>
        <w:rPr>
          <w:rFonts w:hint="eastAsia" w:ascii="仿宋" w:hAnsi="仿宋" w:eastAsia="仿宋"/>
          <w:color w:val="auto"/>
          <w:sz w:val="30"/>
          <w:szCs w:val="30"/>
        </w:rPr>
        <w:t>制定地质灾害隐患点居民的搬迁规划，切实</w:t>
      </w:r>
      <w:r>
        <w:rPr>
          <w:rFonts w:ascii="仿宋" w:hAnsi="仿宋" w:eastAsia="仿宋"/>
          <w:color w:val="auto"/>
          <w:sz w:val="30"/>
          <w:szCs w:val="30"/>
        </w:rPr>
        <w:t>解决群众最关心、最现实的</w:t>
      </w:r>
      <w:r>
        <w:rPr>
          <w:rFonts w:hint="eastAsia" w:ascii="仿宋" w:hAnsi="仿宋" w:eastAsia="仿宋"/>
          <w:color w:val="auto"/>
          <w:sz w:val="30"/>
          <w:szCs w:val="30"/>
        </w:rPr>
        <w:t>搬迁避让中的住房建设问题和远离生产要素问题。</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健全地质灾害防治队伍，完善地质灾害隐患点防灾预案，做到一点一策，全部覆盖已查明的地质灾害隐患点。充分利用物联网技术，实现管理机构、专家队伍、现场群测群防人员、以及设备的互联互通，切实提高地质灾害防治的时效性，切实提升指挥调度和现场处置的信息化水平。</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坚持</w:t>
      </w:r>
      <w:r>
        <w:rPr>
          <w:rFonts w:ascii="仿宋" w:hAnsi="仿宋" w:eastAsia="仿宋"/>
          <w:color w:val="auto"/>
          <w:sz w:val="30"/>
          <w:szCs w:val="30"/>
        </w:rPr>
        <w:t>分级管理</w:t>
      </w:r>
      <w:r>
        <w:rPr>
          <w:rFonts w:hint="eastAsia" w:ascii="仿宋" w:hAnsi="仿宋" w:eastAsia="仿宋"/>
          <w:color w:val="auto"/>
          <w:sz w:val="30"/>
          <w:szCs w:val="30"/>
        </w:rPr>
        <w:t>，层层压实责任</w:t>
      </w:r>
      <w:r>
        <w:rPr>
          <w:rFonts w:ascii="仿宋" w:hAnsi="仿宋" w:eastAsia="仿宋"/>
          <w:color w:val="auto"/>
          <w:sz w:val="30"/>
          <w:szCs w:val="30"/>
        </w:rPr>
        <w:t>。按照险情灾情等级，</w:t>
      </w:r>
      <w:r>
        <w:rPr>
          <w:rFonts w:hint="eastAsia" w:ascii="仿宋" w:hAnsi="仿宋" w:eastAsia="仿宋"/>
          <w:color w:val="auto"/>
          <w:sz w:val="30"/>
          <w:szCs w:val="30"/>
        </w:rPr>
        <w:t>实行省、市、县、乡四级管理，</w:t>
      </w:r>
      <w:r>
        <w:rPr>
          <w:rFonts w:ascii="仿宋" w:hAnsi="仿宋" w:eastAsia="仿宋"/>
          <w:color w:val="auto"/>
          <w:sz w:val="30"/>
          <w:szCs w:val="30"/>
        </w:rPr>
        <w:t>各级党委政府分级负责，承担主体责任</w:t>
      </w:r>
      <w:r>
        <w:rPr>
          <w:rFonts w:hint="eastAsia" w:ascii="仿宋" w:hAnsi="仿宋" w:eastAsia="仿宋"/>
          <w:color w:val="auto"/>
          <w:sz w:val="30"/>
          <w:szCs w:val="30"/>
        </w:rPr>
        <w:t>。</w:t>
      </w:r>
      <w:r>
        <w:rPr>
          <w:rFonts w:ascii="仿宋" w:hAnsi="仿宋" w:eastAsia="仿宋"/>
          <w:color w:val="auto"/>
          <w:sz w:val="30"/>
          <w:szCs w:val="30"/>
        </w:rPr>
        <w:t>人为工程活动等引发的</w:t>
      </w:r>
      <w:r>
        <w:rPr>
          <w:rFonts w:hint="eastAsia" w:ascii="仿宋" w:hAnsi="仿宋" w:eastAsia="仿宋"/>
          <w:color w:val="auto"/>
          <w:sz w:val="30"/>
          <w:szCs w:val="30"/>
        </w:rPr>
        <w:t>地质灾害</w:t>
      </w:r>
      <w:r>
        <w:rPr>
          <w:rFonts w:ascii="仿宋" w:hAnsi="仿宋" w:eastAsia="仿宋"/>
          <w:color w:val="auto"/>
          <w:sz w:val="30"/>
          <w:szCs w:val="30"/>
        </w:rPr>
        <w:t>，按照</w:t>
      </w:r>
      <w:r>
        <w:rPr>
          <w:rFonts w:hint="eastAsia" w:ascii="仿宋" w:hAnsi="仿宋" w:eastAsia="仿宋"/>
          <w:color w:val="auto"/>
          <w:sz w:val="30"/>
          <w:szCs w:val="30"/>
        </w:rPr>
        <w:t>“谁建设、谁负责，谁引发、谁治理”，严格落实企业和施工单位的防治责任</w:t>
      </w:r>
      <w:r>
        <w:rPr>
          <w:rFonts w:ascii="仿宋" w:hAnsi="仿宋" w:eastAsia="仿宋"/>
          <w:color w:val="auto"/>
          <w:sz w:val="30"/>
          <w:szCs w:val="30"/>
        </w:rPr>
        <w:t>。</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加强培训演练，</w:t>
      </w:r>
      <w:r>
        <w:rPr>
          <w:rFonts w:ascii="仿宋" w:hAnsi="仿宋" w:eastAsia="仿宋"/>
          <w:color w:val="auto"/>
          <w:sz w:val="30"/>
          <w:szCs w:val="30"/>
        </w:rPr>
        <w:t>增强全民防灾意识，</w:t>
      </w:r>
      <w:r>
        <w:rPr>
          <w:rFonts w:hint="eastAsia" w:ascii="仿宋" w:hAnsi="仿宋" w:eastAsia="仿宋"/>
          <w:color w:val="auto"/>
          <w:sz w:val="30"/>
          <w:szCs w:val="30"/>
        </w:rPr>
        <w:t>提高临灾自救能力，努力把地质灾害造成的</w:t>
      </w:r>
      <w:r>
        <w:rPr>
          <w:rFonts w:ascii="仿宋" w:hAnsi="仿宋" w:eastAsia="仿宋"/>
          <w:color w:val="auto"/>
          <w:sz w:val="30"/>
          <w:szCs w:val="30"/>
        </w:rPr>
        <w:t>人员伤亡和财产损失</w:t>
      </w:r>
      <w:r>
        <w:rPr>
          <w:rFonts w:hint="eastAsia" w:ascii="仿宋" w:hAnsi="仿宋" w:eastAsia="仿宋"/>
          <w:color w:val="auto"/>
          <w:sz w:val="30"/>
          <w:szCs w:val="30"/>
        </w:rPr>
        <w:t>降到最低</w:t>
      </w:r>
      <w:r>
        <w:rPr>
          <w:rFonts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加强地质灾害防治</w:t>
      </w:r>
      <w:r>
        <w:rPr>
          <w:rFonts w:hint="eastAsia" w:ascii="仿宋" w:hAnsi="仿宋" w:eastAsia="仿宋"/>
          <w:color w:val="auto"/>
          <w:sz w:val="30"/>
          <w:szCs w:val="30"/>
        </w:rPr>
        <w:t>法律法规</w:t>
      </w:r>
      <w:r>
        <w:rPr>
          <w:rFonts w:ascii="仿宋" w:hAnsi="仿宋" w:eastAsia="仿宋"/>
          <w:color w:val="auto"/>
          <w:sz w:val="30"/>
          <w:szCs w:val="30"/>
        </w:rPr>
        <w:t>建设，</w:t>
      </w:r>
      <w:r>
        <w:rPr>
          <w:rFonts w:hint="eastAsia" w:ascii="仿宋" w:hAnsi="仿宋" w:eastAsia="仿宋"/>
          <w:color w:val="auto"/>
          <w:sz w:val="30"/>
          <w:szCs w:val="30"/>
        </w:rPr>
        <w:t>健全地质灾害防治经费投入机制，建立地质灾害保险制度，完善地质灾害救援和补偿机制。</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加强部门联动，防抗救结合。发挥好各级自然资源部门组织、指导、监督、协调作用；应急、水利、交通、地震、气象等相关部门按照职责分工，齐抓共管，做好相关领域地质灾害防治工作的组织实施。坚持以防为主、防灾抗灾救灾相结合，全面提升综合防灾能力。</w:t>
      </w:r>
    </w:p>
    <w:p>
      <w:pPr>
        <w:pStyle w:val="6"/>
        <w:ind w:firstLine="643" w:firstLineChars="200"/>
        <w:rPr>
          <w:color w:val="auto"/>
        </w:rPr>
      </w:pPr>
      <w:bookmarkStart w:id="40" w:name="_Toc6038"/>
      <w:r>
        <w:rPr>
          <w:rFonts w:hint="eastAsia"/>
          <w:color w:val="auto"/>
        </w:rPr>
        <w:t>（二）规划编制思路</w:t>
      </w:r>
      <w:bookmarkEnd w:id="40"/>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为落实新发展理念和上级决策部署，符合时代要求等，体现战略性；注重开门编规划，体现地域特色、专业特点，提高规划科学性；依据相关总体规划和</w:t>
      </w:r>
      <w:r>
        <w:rPr>
          <w:rFonts w:hint="eastAsia" w:ascii="仿宋" w:hAnsi="仿宋" w:eastAsia="仿宋"/>
          <w:color w:val="auto"/>
          <w:sz w:val="30"/>
          <w:szCs w:val="30"/>
          <w:lang w:val="en-US" w:eastAsia="zh-CN"/>
        </w:rPr>
        <w:t>池州市</w:t>
      </w:r>
      <w:r>
        <w:rPr>
          <w:rFonts w:hint="eastAsia" w:ascii="仿宋" w:hAnsi="仿宋" w:eastAsia="仿宋"/>
          <w:color w:val="auto"/>
          <w:sz w:val="30"/>
          <w:szCs w:val="30"/>
        </w:rPr>
        <w:t>地质灾害防治“十四五”防治规划进行编制，符合强制性要求，做好与同级相关规划衔接，加强规划协调性；细化、落实上级同类规划具体任务，明确规划约束性指标、刚性管控要求和指导性要求，侧重规划实施性等。</w:t>
      </w:r>
    </w:p>
    <w:p>
      <w:pPr>
        <w:keepNext w:val="0"/>
        <w:keepLines w:val="0"/>
        <w:pageBreakBefore w:val="0"/>
        <w:widowControl w:val="0"/>
        <w:numPr>
          <w:ilvl w:val="0"/>
          <w:numId w:val="1"/>
        </w:numPr>
        <w:kinsoku/>
        <w:wordWrap/>
        <w:overflowPunct/>
        <w:topLinePunct w:val="0"/>
        <w:autoSpaceDE/>
        <w:autoSpaceDN/>
        <w:bidi w:val="0"/>
        <w:adjustRightInd w:val="0"/>
        <w:snapToGrid w:val="0"/>
        <w:spacing w:line="520" w:lineRule="exact"/>
        <w:ind w:left="0" w:leftChars="0" w:firstLine="723" w:firstLineChars="200"/>
        <w:jc w:val="both"/>
        <w:textAlignment w:val="auto"/>
        <w:outlineLvl w:val="0"/>
        <w:rPr>
          <w:rFonts w:hint="eastAsia" w:ascii="Arial" w:hAnsi="Arial"/>
          <w:b/>
          <w:color w:val="auto"/>
          <w:kern w:val="44"/>
          <w:sz w:val="36"/>
          <w:szCs w:val="30"/>
        </w:rPr>
      </w:pPr>
      <w:bookmarkStart w:id="41" w:name="_Toc15891"/>
      <w:bookmarkStart w:id="42" w:name="_Toc304269049"/>
      <w:r>
        <w:rPr>
          <w:rFonts w:hint="eastAsia" w:ascii="Arial" w:hAnsi="Arial"/>
          <w:b/>
          <w:color w:val="auto"/>
          <w:kern w:val="44"/>
          <w:sz w:val="36"/>
          <w:szCs w:val="30"/>
        </w:rPr>
        <w:t>《规划》 基本框架和主要内容</w:t>
      </w:r>
      <w:bookmarkEnd w:id="41"/>
    </w:p>
    <w:p>
      <w:pPr>
        <w:pStyle w:val="6"/>
        <w:ind w:firstLine="643" w:firstLineChars="200"/>
        <w:rPr>
          <w:color w:val="auto"/>
        </w:rPr>
      </w:pPr>
      <w:bookmarkStart w:id="43" w:name="_Toc26433"/>
      <w:r>
        <w:rPr>
          <w:rFonts w:hint="eastAsia"/>
          <w:color w:val="auto"/>
        </w:rPr>
        <w:t>（一）基本框架</w:t>
      </w:r>
      <w:bookmarkEnd w:id="43"/>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规划架构与《</w:t>
      </w:r>
      <w:r>
        <w:rPr>
          <w:rFonts w:hint="eastAsia" w:ascii="仿宋" w:hAnsi="仿宋" w:eastAsia="仿宋"/>
          <w:color w:val="auto"/>
          <w:sz w:val="30"/>
          <w:szCs w:val="30"/>
          <w:lang w:val="en-US" w:eastAsia="zh-CN"/>
        </w:rPr>
        <w:t>池州市</w:t>
      </w:r>
      <w:r>
        <w:rPr>
          <w:rFonts w:hint="eastAsia" w:ascii="仿宋" w:hAnsi="仿宋" w:eastAsia="仿宋"/>
          <w:color w:val="auto"/>
          <w:sz w:val="30"/>
          <w:szCs w:val="30"/>
        </w:rPr>
        <w:t>地质灾害防治“十四五”规划（2021-2025年）》的架构保持一致。共分五个部分，阐述了规划编制依据、规划适用范围、规划主要内容、规划基准年和规划期。在分析规划现状和防治形势的基础上，明确了指导思想、基本原则，介绍了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地质灾害易发区和防治区，</w:t>
      </w:r>
      <w:r>
        <w:rPr>
          <w:rFonts w:hint="eastAsia" w:ascii="仿宋" w:hAnsi="仿宋" w:eastAsia="仿宋"/>
          <w:color w:val="auto"/>
          <w:sz w:val="30"/>
          <w:szCs w:val="30"/>
          <w:highlight w:val="none"/>
        </w:rPr>
        <w:t>设置了</w:t>
      </w:r>
      <w:r>
        <w:rPr>
          <w:rFonts w:hint="eastAsia" w:ascii="仿宋" w:hAnsi="仿宋" w:eastAsia="仿宋"/>
          <w:color w:val="auto"/>
          <w:sz w:val="30"/>
          <w:szCs w:val="30"/>
          <w:highlight w:val="none"/>
          <w:lang w:val="en-US" w:eastAsia="zh-CN"/>
        </w:rPr>
        <w:t>六</w:t>
      </w:r>
      <w:r>
        <w:rPr>
          <w:rFonts w:hint="eastAsia" w:ascii="仿宋" w:hAnsi="仿宋" w:eastAsia="仿宋"/>
          <w:color w:val="auto"/>
          <w:sz w:val="30"/>
          <w:szCs w:val="30"/>
          <w:highlight w:val="none"/>
        </w:rPr>
        <w:t>项任务，安排了1</w:t>
      </w:r>
      <w:r>
        <w:rPr>
          <w:rFonts w:ascii="仿宋" w:hAnsi="仿宋" w:eastAsia="仿宋"/>
          <w:color w:val="auto"/>
          <w:sz w:val="30"/>
          <w:szCs w:val="30"/>
          <w:highlight w:val="none"/>
        </w:rPr>
        <w:t>8</w:t>
      </w:r>
      <w:r>
        <w:rPr>
          <w:rFonts w:hint="eastAsia" w:ascii="仿宋" w:hAnsi="仿宋" w:eastAsia="仿宋"/>
          <w:color w:val="auto"/>
          <w:sz w:val="30"/>
          <w:szCs w:val="30"/>
          <w:highlight w:val="none"/>
        </w:rPr>
        <w:t>项具体工作，提出了四项保障措施。</w:t>
      </w:r>
      <w:r>
        <w:rPr>
          <w:rFonts w:hint="eastAsia" w:ascii="仿宋" w:hAnsi="仿宋" w:eastAsia="仿宋"/>
          <w:color w:val="auto"/>
          <w:sz w:val="30"/>
          <w:szCs w:val="30"/>
        </w:rPr>
        <w:t>规划总体分为三块：</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1.总论。阐述全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地质灾害现状、“十三五”防治成效和“十四五”防治形势、“十四五”时期地质灾害防治工作的指导思想和遵循的基本原则和规划目标。</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2.分论。介绍了全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地质灾害易发区和防治区，分项阐述“十四五”时期地质灾害防治任务，主要包括调查评价、监测预警、</w:t>
      </w:r>
      <w:r>
        <w:rPr>
          <w:rFonts w:hint="eastAsia" w:ascii="仿宋" w:hAnsi="仿宋" w:eastAsia="仿宋"/>
          <w:color w:val="auto"/>
          <w:sz w:val="30"/>
          <w:szCs w:val="30"/>
          <w:lang w:val="en-US" w:eastAsia="zh-CN"/>
        </w:rPr>
        <w:t>搬迁避让、工程治理</w:t>
      </w:r>
      <w:r>
        <w:rPr>
          <w:rFonts w:hint="eastAsia" w:ascii="仿宋" w:hAnsi="仿宋" w:eastAsia="仿宋"/>
          <w:color w:val="auto"/>
          <w:sz w:val="30"/>
          <w:szCs w:val="30"/>
        </w:rPr>
        <w:t>、基层防灾能力建设、信息化建设。</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3.保障措施。提出了加强组织领导，明确责任分工、加大资金投入，健全经费保障、完善制度机制，加强督导检查和加强宣传培训，提高防灾能力四个保障措施。</w:t>
      </w:r>
    </w:p>
    <w:p>
      <w:pPr>
        <w:pStyle w:val="6"/>
        <w:ind w:firstLine="643" w:firstLineChars="200"/>
        <w:rPr>
          <w:color w:val="auto"/>
        </w:rPr>
      </w:pPr>
      <w:bookmarkStart w:id="44" w:name="_Toc80882148"/>
      <w:bookmarkStart w:id="45" w:name="_Toc31796"/>
      <w:bookmarkStart w:id="46" w:name="_Toc263923332"/>
      <w:bookmarkStart w:id="47" w:name="_Toc263922923"/>
      <w:bookmarkStart w:id="48" w:name="_Toc304269050"/>
      <w:r>
        <w:rPr>
          <w:rFonts w:hint="eastAsia"/>
          <w:color w:val="auto"/>
        </w:rPr>
        <w:t>（二）主要内容</w:t>
      </w:r>
      <w:bookmarkEnd w:id="44"/>
      <w:bookmarkEnd w:id="4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1.总体要求</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指导思想。规划的指导思想是通过学习安徽省国民经济发展“十四五”规划、池州市国民经济发展“十四五”规划、省自然资源厅“十四五”地质灾害防治规划的指导思想，学习习近平总书记指示精神、陆昊部长的讲话精神，并结合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地质灾害防治工作需求提炼总结而成，即：坚持以习近平新时代中国特色社会主义思想为指导，深入贯彻落实党的十九大</w:t>
      </w:r>
      <w:r>
        <w:rPr>
          <w:rFonts w:hint="eastAsia" w:ascii="仿宋" w:hAnsi="仿宋" w:eastAsia="仿宋"/>
          <w:color w:val="auto"/>
          <w:sz w:val="30"/>
          <w:szCs w:val="30"/>
          <w:lang w:eastAsia="zh-CN"/>
        </w:rPr>
        <w:t>、</w:t>
      </w:r>
      <w:r>
        <w:rPr>
          <w:rFonts w:hint="eastAsia" w:ascii="仿宋" w:hAnsi="仿宋" w:eastAsia="仿宋"/>
          <w:color w:val="auto"/>
          <w:sz w:val="30"/>
          <w:szCs w:val="30"/>
        </w:rPr>
        <w:t>十九届历次全会和</w:t>
      </w:r>
      <w:r>
        <w:rPr>
          <w:rFonts w:hint="eastAsia" w:ascii="仿宋" w:hAnsi="仿宋" w:eastAsia="仿宋"/>
          <w:color w:val="auto"/>
          <w:sz w:val="30"/>
          <w:szCs w:val="30"/>
          <w:lang w:val="en-US" w:eastAsia="zh-CN"/>
        </w:rPr>
        <w:t>二十大</w:t>
      </w:r>
      <w:r>
        <w:rPr>
          <w:rFonts w:hint="eastAsia" w:ascii="仿宋" w:hAnsi="仿宋" w:eastAsia="仿宋"/>
          <w:color w:val="auto"/>
          <w:sz w:val="30"/>
          <w:szCs w:val="30"/>
        </w:rPr>
        <w:t>精神，全面贯彻习近平总书记“两个坚持”、“三个转变”、“以人民为中心”的防灾减灾论述，坚持人民至上，生命至上的理念，充分依靠科技进步和管理创新，本着对人民极端负责的精神，持续推进地质灾害调查与风险评价、监测预警、综合治理、基层防灾能力建设和信息化建设，强化国土空间规划管控和生态保护修复，加强统筹协调，提高地质灾害防治能力，为建设新阶段现代化“三优池州”新局面提供地质安全保障。</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（2）规划原则。保留了多年以来地质灾害防治工作一贯遵循的“以人为本，预防为主”“统筹协调，分工负责” “全面规划、突出重点” “群测群防，专群结合”原则。</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（3）规划目标。从全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地质灾害防治需求，结合</w:t>
      </w:r>
      <w:r>
        <w:rPr>
          <w:rFonts w:hint="eastAsia" w:ascii="仿宋" w:hAnsi="仿宋" w:eastAsia="仿宋"/>
          <w:color w:val="auto"/>
          <w:sz w:val="30"/>
          <w:szCs w:val="30"/>
          <w:lang w:val="en-US" w:eastAsia="zh-CN"/>
        </w:rPr>
        <w:t>六</w:t>
      </w:r>
      <w:r>
        <w:rPr>
          <w:rFonts w:hint="eastAsia" w:ascii="仿宋" w:hAnsi="仿宋" w:eastAsia="仿宋"/>
          <w:color w:val="auto"/>
          <w:sz w:val="30"/>
          <w:szCs w:val="30"/>
        </w:rPr>
        <w:t>大任务设置。“十四五”期间，全面完成全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1:5万地质灾害风险调查评价任务；对部分重点区域、有条件地区开展更大比例尺地质灾害调查和地质灾害风险调查试点；对农村切坡建房进行全面排查；建立健全地质灾害气象风险预警网络，努力提高地质灾害气象预警预报的科学性和准确性；全面推进群测群防网格化体系建设，着力构建“五位一体”的群专结合体系；对有条件的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重要地质灾害隐患点实施全面的工程治理、排危除险或搬迁避让工作，消除地质灾害隐患；下大力气规范农村村民切坡建房活动，努力解决地质灾害防灾减灾体系中的薄弱环节和突出问题，不断提高广大人民群众减灾避灾意识，切实增强防御地质灾害的能力，尽全力减轻因地质灾害造成的人员伤亡和财产损失。</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到2025年，全面建成与全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经济社会发展相适应的地质灾害调查评价体系、监测预警体系、防治体系，消除威胁人数多和危险性较高的地质灾害隐患点，确保地质灾害造成的人员伤亡和财产损失明显减少。</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2.主要内容</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根据全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地质灾害防治工作实际需求，考虑到 “十三五”地质灾害防治任务的延续，以及全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正在部署和实施的各项地质灾害工作进展情况，参考</w:t>
      </w:r>
      <w:r>
        <w:rPr>
          <w:rFonts w:hint="eastAsia" w:ascii="仿宋" w:hAnsi="仿宋" w:eastAsia="仿宋"/>
          <w:color w:val="auto"/>
          <w:sz w:val="30"/>
          <w:szCs w:val="30"/>
          <w:lang w:val="en-US" w:eastAsia="zh-CN"/>
        </w:rPr>
        <w:t>池州市</w:t>
      </w:r>
      <w:r>
        <w:rPr>
          <w:rFonts w:hint="eastAsia" w:ascii="仿宋" w:hAnsi="仿宋" w:eastAsia="仿宋"/>
          <w:color w:val="auto"/>
          <w:sz w:val="30"/>
          <w:szCs w:val="30"/>
        </w:rPr>
        <w:t>地质灾害防治“十四五”规划任务设置，确定全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w:t>
      </w:r>
      <w:r>
        <w:rPr>
          <w:rFonts w:hint="eastAsia" w:ascii="仿宋" w:hAnsi="仿宋" w:eastAsia="仿宋"/>
          <w:color w:val="auto"/>
          <w:sz w:val="30"/>
          <w:szCs w:val="30"/>
          <w:lang w:val="en-US" w:eastAsia="zh-CN"/>
        </w:rPr>
        <w:t>六</w:t>
      </w:r>
      <w:r>
        <w:rPr>
          <w:rFonts w:hint="eastAsia" w:ascii="仿宋" w:hAnsi="仿宋" w:eastAsia="仿宋"/>
          <w:color w:val="auto"/>
          <w:sz w:val="30"/>
          <w:szCs w:val="30"/>
        </w:rPr>
        <w:t>大任务，即：调查评价、监测预警、</w:t>
      </w:r>
      <w:r>
        <w:rPr>
          <w:rFonts w:hint="eastAsia" w:ascii="仿宋" w:hAnsi="仿宋" w:eastAsia="仿宋"/>
          <w:color w:val="auto"/>
          <w:sz w:val="30"/>
          <w:szCs w:val="30"/>
          <w:lang w:val="en-US" w:eastAsia="zh-CN"/>
        </w:rPr>
        <w:t>搬迁避让、工程</w:t>
      </w:r>
      <w:r>
        <w:rPr>
          <w:rFonts w:hint="eastAsia" w:ascii="仿宋" w:hAnsi="仿宋" w:eastAsia="仿宋"/>
          <w:color w:val="auto"/>
          <w:sz w:val="30"/>
          <w:szCs w:val="30"/>
        </w:rPr>
        <w:t>治理、基层防灾能力建设、信息化建设。</w:t>
      </w:r>
      <w:r>
        <w:rPr>
          <w:rFonts w:ascii="仿宋" w:hAnsi="仿宋" w:eastAsia="仿宋"/>
          <w:color w:val="auto"/>
          <w:sz w:val="30"/>
          <w:szCs w:val="30"/>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在</w:t>
      </w:r>
      <w:r>
        <w:rPr>
          <w:rFonts w:hint="eastAsia" w:ascii="仿宋" w:hAnsi="仿宋" w:eastAsia="仿宋"/>
          <w:b/>
          <w:color w:val="auto"/>
          <w:sz w:val="30"/>
          <w:szCs w:val="30"/>
        </w:rPr>
        <w:t>调查评价</w:t>
      </w:r>
      <w:r>
        <w:rPr>
          <w:rFonts w:hint="eastAsia" w:ascii="仿宋" w:hAnsi="仿宋" w:eastAsia="仿宋"/>
          <w:color w:val="auto"/>
          <w:sz w:val="30"/>
          <w:szCs w:val="30"/>
        </w:rPr>
        <w:t>任务中部署了两项工作：一是全面完成地质灾害风险调查；二是强化地质灾害“三查”工作。</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在</w:t>
      </w:r>
      <w:r>
        <w:rPr>
          <w:rFonts w:hint="eastAsia" w:ascii="仿宋" w:hAnsi="仿宋" w:eastAsia="仿宋"/>
          <w:b/>
          <w:color w:val="auto"/>
          <w:sz w:val="30"/>
          <w:szCs w:val="30"/>
        </w:rPr>
        <w:t>监测预警</w:t>
      </w:r>
      <w:r>
        <w:rPr>
          <w:rFonts w:hint="eastAsia" w:ascii="仿宋" w:hAnsi="仿宋" w:eastAsia="仿宋"/>
          <w:color w:val="auto"/>
          <w:sz w:val="30"/>
          <w:szCs w:val="30"/>
        </w:rPr>
        <w:t>任务中，部署了四项工作，一是健全完善地质灾害气象预警预报体系；二是构建“群专结合”、“五位一体”的地质灾害网格化管理体系；三是增建雨量站点；四是部署专业监测设备。</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bookmarkStart w:id="49" w:name="_Toc9773"/>
      <w:r>
        <w:rPr>
          <w:rFonts w:hint="eastAsia" w:ascii="仿宋" w:hAnsi="仿宋" w:eastAsia="仿宋"/>
          <w:b w:val="0"/>
          <w:bCs w:val="0"/>
          <w:color w:val="auto"/>
          <w:sz w:val="30"/>
          <w:szCs w:val="30"/>
        </w:rPr>
        <w:t>在</w:t>
      </w:r>
      <w:bookmarkEnd w:id="49"/>
      <w:r>
        <w:rPr>
          <w:rFonts w:hint="eastAsia" w:ascii="仿宋" w:hAnsi="仿宋" w:eastAsia="仿宋"/>
          <w:b w:val="0"/>
          <w:bCs w:val="0"/>
          <w:color w:val="auto"/>
          <w:sz w:val="30"/>
          <w:szCs w:val="30"/>
        </w:rPr>
        <w:t>综合治理任务中部署了两项工作</w:t>
      </w:r>
      <w:r>
        <w:rPr>
          <w:rFonts w:hint="eastAsia" w:ascii="仿宋" w:hAnsi="仿宋" w:eastAsia="仿宋"/>
          <w:color w:val="auto"/>
          <w:sz w:val="30"/>
          <w:szCs w:val="30"/>
        </w:rPr>
        <w:t>，一是</w:t>
      </w:r>
      <w:r>
        <w:rPr>
          <w:rFonts w:hint="eastAsia" w:ascii="仿宋" w:hAnsi="仿宋" w:eastAsia="仿宋"/>
          <w:b/>
          <w:bCs/>
          <w:color w:val="auto"/>
          <w:sz w:val="30"/>
          <w:szCs w:val="30"/>
        </w:rPr>
        <w:t>搬迁避让</w:t>
      </w:r>
      <w:r>
        <w:rPr>
          <w:rFonts w:hint="eastAsia" w:ascii="仿宋" w:hAnsi="仿宋" w:eastAsia="仿宋"/>
          <w:color w:val="auto"/>
          <w:sz w:val="30"/>
          <w:szCs w:val="30"/>
        </w:rPr>
        <w:t>；二是</w:t>
      </w:r>
      <w:r>
        <w:rPr>
          <w:rFonts w:hint="eastAsia" w:ascii="仿宋" w:hAnsi="仿宋" w:eastAsia="仿宋"/>
          <w:b/>
          <w:bCs/>
          <w:color w:val="auto"/>
          <w:sz w:val="30"/>
          <w:szCs w:val="30"/>
          <w:lang w:val="en-US" w:eastAsia="zh-CN"/>
        </w:rPr>
        <w:t>工程治理</w:t>
      </w:r>
      <w:r>
        <w:rPr>
          <w:rFonts w:hint="eastAsia"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在</w:t>
      </w:r>
      <w:r>
        <w:rPr>
          <w:rFonts w:hint="eastAsia" w:ascii="仿宋" w:hAnsi="仿宋" w:eastAsia="仿宋"/>
          <w:b/>
          <w:color w:val="auto"/>
          <w:sz w:val="30"/>
          <w:szCs w:val="30"/>
        </w:rPr>
        <w:t>基层防灾能力建设</w:t>
      </w:r>
      <w:r>
        <w:rPr>
          <w:rFonts w:hint="eastAsia" w:ascii="仿宋" w:hAnsi="仿宋" w:eastAsia="仿宋"/>
          <w:color w:val="auto"/>
          <w:sz w:val="30"/>
          <w:szCs w:val="30"/>
        </w:rPr>
        <w:t>任务中部署了四项工作，一是推进“隐患点+风险区”双控管理模式；二是健全地质灾害防治专业队伍支撑体系；三是加强值班值守与处置；四是强化业务能力培训。</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在</w:t>
      </w:r>
      <w:r>
        <w:rPr>
          <w:rFonts w:hint="eastAsia" w:ascii="仿宋" w:hAnsi="仿宋" w:eastAsia="仿宋"/>
          <w:b/>
          <w:color w:val="auto"/>
          <w:sz w:val="30"/>
          <w:szCs w:val="30"/>
        </w:rPr>
        <w:t>信息化建设任务</w:t>
      </w:r>
      <w:r>
        <w:rPr>
          <w:rFonts w:hint="eastAsia" w:ascii="仿宋" w:hAnsi="仿宋" w:eastAsia="仿宋"/>
          <w:color w:val="auto"/>
          <w:sz w:val="30"/>
          <w:szCs w:val="30"/>
        </w:rPr>
        <w:t>中部署了一项工作，建设地质灾害数据库。</w:t>
      </w:r>
      <w:r>
        <w:rPr>
          <w:rFonts w:ascii="仿宋" w:hAnsi="仿宋" w:eastAsia="仿宋"/>
          <w:color w:val="auto"/>
          <w:sz w:val="30"/>
          <w:szCs w:val="30"/>
        </w:rPr>
        <w:t xml:space="preserve"> </w:t>
      </w:r>
    </w:p>
    <w:bookmarkEnd w:id="46"/>
    <w:bookmarkEnd w:id="47"/>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bookmarkStart w:id="50" w:name="_Toc6295"/>
      <w:r>
        <w:rPr>
          <w:rFonts w:hint="eastAsia" w:ascii="Arial" w:hAnsi="Arial"/>
          <w:b/>
          <w:color w:val="auto"/>
          <w:kern w:val="44"/>
          <w:sz w:val="36"/>
          <w:szCs w:val="30"/>
        </w:rPr>
        <w:t>规划期、规划范围</w:t>
      </w:r>
      <w:bookmarkEnd w:id="48"/>
      <w:bookmarkEnd w:id="50"/>
    </w:p>
    <w:p>
      <w:pPr>
        <w:pStyle w:val="6"/>
        <w:ind w:firstLine="643" w:firstLineChars="200"/>
        <w:rPr>
          <w:color w:val="auto"/>
        </w:rPr>
      </w:pPr>
      <w:bookmarkStart w:id="51" w:name="_Toc19367"/>
      <w:bookmarkStart w:id="52" w:name="_Toc263923333"/>
      <w:bookmarkStart w:id="53" w:name="_Toc263922924"/>
      <w:bookmarkStart w:id="54" w:name="_Toc304269051"/>
      <w:r>
        <w:rPr>
          <w:rFonts w:hint="eastAsia"/>
          <w:color w:val="auto"/>
        </w:rPr>
        <w:t>（一）规划期</w:t>
      </w:r>
      <w:bookmarkEnd w:id="51"/>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本“规划”为全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“十四五”地质灾害防治规划，规划基准年确定为2020年，规划期为：2021－2025年。</w:t>
      </w:r>
    </w:p>
    <w:p>
      <w:pPr>
        <w:pStyle w:val="6"/>
        <w:ind w:firstLine="643" w:firstLineChars="200"/>
        <w:rPr>
          <w:color w:val="auto"/>
        </w:rPr>
      </w:pPr>
      <w:bookmarkStart w:id="55" w:name="_Toc3074"/>
      <w:r>
        <w:rPr>
          <w:rFonts w:hint="eastAsia"/>
          <w:color w:val="auto"/>
        </w:rPr>
        <w:t>（二）规划范围</w:t>
      </w:r>
      <w:bookmarkEnd w:id="5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行政区范围：</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全境</w:t>
      </w:r>
      <w:r>
        <w:rPr>
          <w:rFonts w:hint="eastAsia" w:ascii="仿宋" w:hAnsi="仿宋" w:eastAsia="仿宋"/>
          <w:color w:val="auto"/>
          <w:sz w:val="30"/>
          <w:szCs w:val="30"/>
          <w:highlight w:val="none"/>
        </w:rPr>
        <w:t>，介于北纬29°34-30°30′，东经116°39-117°18′</w:t>
      </w:r>
      <w:r>
        <w:rPr>
          <w:rFonts w:ascii="仿宋" w:hAnsi="仿宋" w:eastAsia="仿宋"/>
          <w:color w:val="auto"/>
          <w:sz w:val="30"/>
          <w:szCs w:val="30"/>
          <w:highlight w:val="none"/>
        </w:rPr>
        <w:t>之间</w:t>
      </w:r>
      <w:r>
        <w:rPr>
          <w:rFonts w:hint="eastAsia" w:ascii="仿宋" w:hAnsi="仿宋" w:eastAsia="仿宋"/>
          <w:color w:val="auto"/>
          <w:sz w:val="30"/>
          <w:szCs w:val="30"/>
          <w:highlight w:val="none"/>
        </w:rPr>
        <w:t>，</w:t>
      </w:r>
      <w:r>
        <w:rPr>
          <w:rFonts w:hint="eastAsia" w:ascii="仿宋" w:hAnsi="仿宋" w:eastAsia="仿宋"/>
          <w:color w:val="auto"/>
          <w:sz w:val="30"/>
          <w:szCs w:val="30"/>
        </w:rPr>
        <w:t>国土面积3250.03</w:t>
      </w:r>
      <w:r>
        <w:rPr>
          <w:rFonts w:ascii="仿宋" w:hAnsi="仿宋" w:eastAsia="仿宋"/>
          <w:color w:val="auto"/>
          <w:sz w:val="30"/>
          <w:szCs w:val="30"/>
        </w:rPr>
        <w:t>km</w:t>
      </w:r>
      <w:r>
        <w:rPr>
          <w:rFonts w:ascii="Calibri" w:hAnsi="Calibri" w:eastAsia="仿宋" w:cs="Calibri"/>
          <w:color w:val="auto"/>
          <w:sz w:val="30"/>
          <w:szCs w:val="30"/>
        </w:rPr>
        <w:t>²</w:t>
      </w:r>
      <w:r>
        <w:rPr>
          <w:rFonts w:hint="eastAsia"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灾种范围：崩塌、滑坡、泥石流、地面塌陷四大灾种。</w:t>
      </w:r>
    </w:p>
    <w:bookmarkEnd w:id="42"/>
    <w:bookmarkEnd w:id="52"/>
    <w:bookmarkEnd w:id="53"/>
    <w:bookmarkEnd w:id="54"/>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bookmarkStart w:id="56" w:name="_Toc263922935"/>
      <w:bookmarkStart w:id="57" w:name="_Toc304269054"/>
      <w:bookmarkStart w:id="58" w:name="_Toc10175"/>
      <w:bookmarkStart w:id="59" w:name="_Toc263923344"/>
      <w:r>
        <w:rPr>
          <w:rFonts w:hint="eastAsia" w:ascii="Arial" w:hAnsi="Arial"/>
          <w:b/>
          <w:color w:val="auto"/>
          <w:kern w:val="44"/>
          <w:sz w:val="36"/>
          <w:szCs w:val="30"/>
        </w:rPr>
        <w:t>地质灾害易发区划分</w:t>
      </w:r>
      <w:bookmarkEnd w:id="56"/>
      <w:bookmarkEnd w:id="57"/>
      <w:bookmarkEnd w:id="58"/>
      <w:bookmarkEnd w:id="59"/>
    </w:p>
    <w:p>
      <w:pPr>
        <w:pStyle w:val="6"/>
        <w:ind w:firstLine="643" w:firstLineChars="200"/>
        <w:rPr>
          <w:color w:val="auto"/>
        </w:rPr>
      </w:pPr>
      <w:bookmarkStart w:id="60" w:name="_Toc263923345"/>
      <w:bookmarkStart w:id="61" w:name="_Toc304269055"/>
      <w:bookmarkStart w:id="62" w:name="_Toc263922936"/>
      <w:bookmarkStart w:id="63" w:name="_Toc16847"/>
      <w:r>
        <w:rPr>
          <w:rFonts w:hint="eastAsia"/>
          <w:color w:val="auto"/>
        </w:rPr>
        <w:t>（一）划分</w:t>
      </w:r>
      <w:bookmarkEnd w:id="60"/>
      <w:bookmarkEnd w:id="61"/>
      <w:bookmarkEnd w:id="62"/>
      <w:r>
        <w:rPr>
          <w:rFonts w:hint="eastAsia"/>
          <w:color w:val="auto"/>
        </w:rPr>
        <w:t>原则</w:t>
      </w:r>
      <w:bookmarkEnd w:id="63"/>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根据全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地质灾害空间分布情况、1:5万县（区）地质灾害调查成果，按照《安徽省市县地质灾害防治规划编制细则》、《县</w:t>
      </w:r>
      <w:r>
        <w:rPr>
          <w:rFonts w:ascii="仿宋" w:hAnsi="仿宋" w:eastAsia="仿宋"/>
          <w:color w:val="auto"/>
          <w:sz w:val="30"/>
          <w:szCs w:val="30"/>
        </w:rPr>
        <w:t>(</w:t>
      </w:r>
      <w:r>
        <w:rPr>
          <w:rFonts w:hint="eastAsia" w:ascii="仿宋" w:hAnsi="仿宋" w:eastAsia="仿宋"/>
          <w:color w:val="auto"/>
          <w:sz w:val="30"/>
          <w:szCs w:val="30"/>
        </w:rPr>
        <w:t>市</w:t>
      </w:r>
      <w:r>
        <w:rPr>
          <w:rFonts w:ascii="仿宋" w:hAnsi="仿宋" w:eastAsia="仿宋"/>
          <w:color w:val="auto"/>
          <w:sz w:val="30"/>
          <w:szCs w:val="30"/>
        </w:rPr>
        <w:t>)</w:t>
      </w:r>
      <w:r>
        <w:rPr>
          <w:rFonts w:hint="eastAsia" w:ascii="仿宋" w:hAnsi="仿宋" w:eastAsia="仿宋"/>
          <w:color w:val="auto"/>
          <w:sz w:val="30"/>
          <w:szCs w:val="30"/>
        </w:rPr>
        <w:t>地质灾害调查与区划基本要求实施细则》等相关要求，采用国内现行地质灾害易发区划分评价方法，以定量评价和定性分析相结合，综合确定全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地质灾害易发分区，并按高、中、低、非易发划分为四个等级。</w:t>
      </w:r>
    </w:p>
    <w:p>
      <w:pPr>
        <w:pStyle w:val="6"/>
        <w:ind w:firstLine="643" w:firstLineChars="200"/>
        <w:rPr>
          <w:color w:val="auto"/>
        </w:rPr>
      </w:pPr>
      <w:bookmarkStart w:id="64" w:name="_Toc24757"/>
      <w:r>
        <w:rPr>
          <w:rFonts w:hint="eastAsia"/>
          <w:color w:val="auto"/>
        </w:rPr>
        <w:t>（二）划分方法</w:t>
      </w:r>
      <w:bookmarkEnd w:id="64"/>
    </w:p>
    <w:p>
      <w:pPr>
        <w:spacing w:line="360" w:lineRule="auto"/>
        <w:ind w:firstLine="602" w:firstLineChars="200"/>
        <w:rPr>
          <w:rFonts w:ascii="仿宋" w:hAnsi="仿宋" w:eastAsia="仿宋"/>
          <w:b/>
          <w:color w:val="auto"/>
          <w:sz w:val="30"/>
          <w:szCs w:val="30"/>
        </w:rPr>
      </w:pPr>
      <w:r>
        <w:rPr>
          <w:rFonts w:hint="eastAsia" w:ascii="仿宋" w:hAnsi="仿宋" w:eastAsia="仿宋"/>
          <w:b/>
          <w:color w:val="auto"/>
          <w:sz w:val="30"/>
          <w:szCs w:val="30"/>
        </w:rPr>
        <w:t>1.单灾种易发区划分</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（1）崩塌、滑坡、泥石流易发区划分方法</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bookmarkStart w:id="65" w:name="_Toc263923347"/>
      <w:bookmarkStart w:id="66" w:name="_Toc263922938"/>
      <w:bookmarkStart w:id="67" w:name="_Toc304269057"/>
      <w:r>
        <w:rPr>
          <w:rFonts w:hint="eastAsia" w:ascii="仿宋" w:hAnsi="仿宋" w:eastAsia="仿宋"/>
          <w:color w:val="auto"/>
          <w:sz w:val="30"/>
          <w:szCs w:val="30"/>
        </w:rPr>
        <w:t>采用《县（市）地质灾害调查与区划基本要求实施细则》推荐的“地质灾害综合危险性指数法”，采取单因素致灾的量化评价和多因素综合评价的技术路线进行易发区划分。</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地质灾害易发程度指数计算:利用GIS软件将比例尺为1：25万地形地质图，以2mm×2mm 网格为单元。在单元格内把地形地貌、地层岩性、工程地质岩组、降水量、现状地质灾害强度和人类工程活动等每一致灾单元因素采用信息叠加法对单元格进行赋值，计算地质灾害易发程度指数。计算公式：Z = Zq×r1+Zx×r2</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式中：Z—崩塌、滑坡、泥石流灾害综合危险性指数；</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Zq—潜在地质灾害强度指数；</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r1—潜在地质灾害强度权值；</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Zx—现状地质灾害强度指数；</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r2—现状地质灾害强度权值。</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潜在崩塌、滑坡、泥石流灾害强度指数计算</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计算公式：Zq = ∑Ti×Ai</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式中：Zq—潜在崩塌、滑坡、泥石流灾害强度指数;</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Ti—分别为控制评价单元地质灾害形成的地形、地质、气象条件等的表度分值（表6</w:t>
      </w:r>
      <w:r>
        <w:rPr>
          <w:rFonts w:ascii="仿宋" w:hAnsi="仿宋" w:eastAsia="仿宋"/>
          <w:color w:val="auto"/>
          <w:sz w:val="30"/>
          <w:szCs w:val="30"/>
        </w:rPr>
        <w:t>-</w:t>
      </w:r>
      <w:r>
        <w:rPr>
          <w:rFonts w:hint="eastAsia" w:ascii="仿宋" w:hAnsi="仿宋" w:eastAsia="仿宋"/>
          <w:color w:val="auto"/>
          <w:sz w:val="30"/>
          <w:szCs w:val="30"/>
        </w:rPr>
        <w:t>1），其取值具体各因素赋值权重（表6</w:t>
      </w:r>
      <w:r>
        <w:rPr>
          <w:rFonts w:ascii="仿宋" w:hAnsi="仿宋" w:eastAsia="仿宋"/>
          <w:color w:val="auto"/>
          <w:sz w:val="30"/>
          <w:szCs w:val="30"/>
        </w:rPr>
        <w:t>-</w:t>
      </w:r>
      <w:r>
        <w:rPr>
          <w:rFonts w:hint="eastAsia" w:ascii="仿宋" w:hAnsi="仿宋" w:eastAsia="仿宋"/>
          <w:color w:val="auto"/>
          <w:sz w:val="30"/>
          <w:szCs w:val="30"/>
        </w:rPr>
        <w:t>2）。</w:t>
      </w:r>
    </w:p>
    <w:p>
      <w:pPr>
        <w:spacing w:line="360" w:lineRule="auto"/>
        <w:ind w:firstLine="560" w:firstLineChars="200"/>
        <w:jc w:val="center"/>
        <w:rPr>
          <w:rFonts w:ascii="宋体" w:hAnsi="宋体"/>
          <w:color w:val="auto"/>
          <w:sz w:val="28"/>
          <w:szCs w:val="28"/>
        </w:rPr>
      </w:pPr>
      <w:r>
        <w:rPr>
          <w:rFonts w:hint="eastAsia" w:ascii="宋体" w:hAnsi="宋体"/>
          <w:color w:val="auto"/>
          <w:sz w:val="28"/>
          <w:szCs w:val="28"/>
        </w:rPr>
        <w:t>表6</w:t>
      </w:r>
      <w:r>
        <w:rPr>
          <w:rFonts w:ascii="宋体" w:hAnsi="宋体"/>
          <w:color w:val="auto"/>
          <w:sz w:val="28"/>
          <w:szCs w:val="28"/>
        </w:rPr>
        <w:t>-</w:t>
      </w:r>
      <w:r>
        <w:rPr>
          <w:rFonts w:hint="eastAsia" w:ascii="宋体" w:hAnsi="宋体"/>
          <w:color w:val="auto"/>
          <w:sz w:val="28"/>
          <w:szCs w:val="28"/>
        </w:rPr>
        <w:t>1   崩塌、滑坡、泥石流灾害致灾因子量化赋值一览表</w:t>
      </w:r>
    </w:p>
    <w:tbl>
      <w:tblPr>
        <w:tblStyle w:val="30"/>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9"/>
        <w:gridCol w:w="851"/>
        <w:gridCol w:w="1984"/>
        <w:gridCol w:w="1418"/>
        <w:gridCol w:w="1345"/>
        <w:gridCol w:w="21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1839" w:type="dxa"/>
            <w:vMerge w:val="restart"/>
            <w:vAlign w:val="center"/>
          </w:tcPr>
          <w:p>
            <w:pPr>
              <w:adjustRightInd w:val="0"/>
              <w:snapToGrid w:val="0"/>
              <w:ind w:left="1200" w:hanging="1200" w:hangingChars="500"/>
              <w:jc w:val="center"/>
              <w:rPr>
                <w:rFonts w:ascii="仿宋" w:hAnsi="仿宋" w:eastAsia="仿宋"/>
                <w:color w:val="auto"/>
                <w:sz w:val="24"/>
              </w:rPr>
            </w:pPr>
            <w:r>
              <w:rPr>
                <w:rFonts w:hint="eastAsia" w:ascii="仿宋" w:hAnsi="仿宋" w:eastAsia="仿宋"/>
                <w:color w:val="auto"/>
                <w:sz w:val="24"/>
              </w:rPr>
              <w:t>致灾因子</w:t>
            </w:r>
          </w:p>
        </w:tc>
        <w:tc>
          <w:tcPr>
            <w:tcW w:w="851" w:type="dxa"/>
            <w:vMerge w:val="restar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权重</w:t>
            </w:r>
          </w:p>
        </w:tc>
        <w:tc>
          <w:tcPr>
            <w:tcW w:w="6874" w:type="dxa"/>
            <w:gridSpan w:val="4"/>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赋值得分(Ti)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1839" w:type="dxa"/>
            <w:vMerge w:val="continue"/>
            <w:vAlign w:val="center"/>
          </w:tcPr>
          <w:p>
            <w:pPr>
              <w:adjustRightInd w:val="0"/>
              <w:snapToGrid w:val="0"/>
              <w:ind w:left="1200" w:hanging="1200" w:hangingChars="500"/>
              <w:jc w:val="center"/>
              <w:rPr>
                <w:rFonts w:ascii="仿宋" w:hAnsi="仿宋" w:eastAsia="仿宋"/>
                <w:color w:val="auto"/>
                <w:sz w:val="24"/>
              </w:rPr>
            </w:pPr>
          </w:p>
        </w:tc>
        <w:tc>
          <w:tcPr>
            <w:tcW w:w="851" w:type="dxa"/>
            <w:vMerge w:val="continue"/>
            <w:vAlign w:val="center"/>
          </w:tcPr>
          <w:p>
            <w:pPr>
              <w:adjustRightInd w:val="0"/>
              <w:snapToGrid w:val="0"/>
              <w:ind w:left="1200" w:hanging="1200" w:hangingChars="500"/>
              <w:jc w:val="center"/>
              <w:rPr>
                <w:rFonts w:ascii="仿宋" w:hAnsi="仿宋" w:eastAsia="仿宋"/>
                <w:color w:val="auto"/>
                <w:sz w:val="24"/>
              </w:rPr>
            </w:pPr>
          </w:p>
        </w:tc>
        <w:tc>
          <w:tcPr>
            <w:tcW w:w="1984"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4</w:t>
            </w:r>
          </w:p>
        </w:tc>
        <w:tc>
          <w:tcPr>
            <w:tcW w:w="1418"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3</w:t>
            </w:r>
          </w:p>
        </w:tc>
        <w:tc>
          <w:tcPr>
            <w:tcW w:w="1345"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2</w:t>
            </w:r>
          </w:p>
        </w:tc>
        <w:tc>
          <w:tcPr>
            <w:tcW w:w="2127"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839" w:type="dxa"/>
            <w:vAlign w:val="center"/>
          </w:tcPr>
          <w:p>
            <w:pPr>
              <w:adjustRightInd w:val="0"/>
              <w:snapToGrid w:val="0"/>
              <w:ind w:firstLine="480" w:firstLineChars="200"/>
              <w:jc w:val="center"/>
              <w:rPr>
                <w:rFonts w:ascii="仿宋" w:hAnsi="仿宋" w:eastAsia="仿宋"/>
                <w:color w:val="auto"/>
                <w:sz w:val="24"/>
              </w:rPr>
            </w:pPr>
            <w:r>
              <w:rPr>
                <w:rFonts w:ascii="仿宋" w:hAnsi="仿宋" w:eastAsia="仿宋"/>
                <w:color w:val="auto"/>
                <w:sz w:val="24"/>
              </w:rPr>
              <w:t>地质灾害强度</w:t>
            </w:r>
          </w:p>
          <w:p>
            <w:pPr>
              <w:adjustRightInd w:val="0"/>
              <w:snapToGrid w:val="0"/>
              <w:ind w:firstLine="480" w:firstLineChars="200"/>
              <w:jc w:val="center"/>
              <w:rPr>
                <w:rFonts w:ascii="仿宋" w:hAnsi="仿宋" w:eastAsia="仿宋"/>
                <w:color w:val="auto"/>
                <w:sz w:val="24"/>
              </w:rPr>
            </w:pPr>
            <w:r>
              <w:rPr>
                <w:rFonts w:ascii="仿宋" w:hAnsi="仿宋" w:eastAsia="仿宋"/>
                <w:color w:val="auto"/>
                <w:sz w:val="24"/>
              </w:rPr>
              <w:t>(</w:t>
            </w:r>
            <w:r>
              <w:rPr>
                <w:rFonts w:hint="eastAsia" w:ascii="仿宋" w:hAnsi="仿宋" w:eastAsia="仿宋"/>
                <w:color w:val="auto"/>
                <w:sz w:val="24"/>
              </w:rPr>
              <w:t>个</w:t>
            </w:r>
            <w:r>
              <w:rPr>
                <w:rFonts w:ascii="仿宋" w:hAnsi="仿宋" w:eastAsia="仿宋"/>
                <w:color w:val="auto"/>
                <w:sz w:val="24"/>
              </w:rPr>
              <w:t>/km</w:t>
            </w:r>
            <w:r>
              <w:rPr>
                <w:rFonts w:ascii="仿宋" w:hAnsi="仿宋" w:eastAsia="仿宋"/>
                <w:color w:val="auto"/>
                <w:sz w:val="24"/>
                <w:vertAlign w:val="superscript"/>
              </w:rPr>
              <w:t>2</w:t>
            </w:r>
            <w:r>
              <w:rPr>
                <w:rFonts w:ascii="仿宋" w:hAnsi="仿宋" w:eastAsia="仿宋"/>
                <w:color w:val="auto"/>
                <w:sz w:val="24"/>
              </w:rPr>
              <w:t>)</w:t>
            </w:r>
          </w:p>
        </w:tc>
        <w:tc>
          <w:tcPr>
            <w:tcW w:w="851"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0.05</w:t>
            </w:r>
          </w:p>
        </w:tc>
        <w:tc>
          <w:tcPr>
            <w:tcW w:w="1984"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&gt;1.0</w:t>
            </w:r>
          </w:p>
        </w:tc>
        <w:tc>
          <w:tcPr>
            <w:tcW w:w="1418"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[0.5,1.0)</w:t>
            </w:r>
          </w:p>
        </w:tc>
        <w:tc>
          <w:tcPr>
            <w:tcW w:w="1345"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[0.1,0.5)</w:t>
            </w:r>
          </w:p>
        </w:tc>
        <w:tc>
          <w:tcPr>
            <w:tcW w:w="2127"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&lt;0.1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1839"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地形与地貌</w:t>
            </w:r>
          </w:p>
        </w:tc>
        <w:tc>
          <w:tcPr>
            <w:tcW w:w="851"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0.35</w:t>
            </w:r>
          </w:p>
        </w:tc>
        <w:tc>
          <w:tcPr>
            <w:tcW w:w="1984" w:type="dxa"/>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中低山</w:t>
            </w:r>
          </w:p>
          <w:p>
            <w:pPr>
              <w:adjustRightInd w:val="0"/>
              <w:snapToGrid w:val="0"/>
              <w:ind w:firstLine="480" w:firstLineChars="200"/>
              <w:jc w:val="center"/>
              <w:rPr>
                <w:rFonts w:ascii="仿宋" w:hAnsi="仿宋" w:eastAsia="仿宋"/>
                <w:color w:val="auto"/>
                <w:sz w:val="24"/>
              </w:rPr>
            </w:pPr>
            <w:r>
              <w:rPr>
                <w:rFonts w:ascii="仿宋" w:hAnsi="仿宋" w:eastAsia="仿宋"/>
                <w:color w:val="auto"/>
                <w:sz w:val="24"/>
              </w:rPr>
              <w:t>(</w:t>
            </w:r>
            <w:r>
              <w:rPr>
                <w:rFonts w:hint="eastAsia" w:ascii="仿宋" w:hAnsi="仿宋" w:eastAsia="仿宋"/>
                <w:color w:val="auto"/>
                <w:sz w:val="24"/>
              </w:rPr>
              <w:t>Ⅲ2、Ⅲ1)</w:t>
            </w:r>
          </w:p>
        </w:tc>
        <w:tc>
          <w:tcPr>
            <w:tcW w:w="1418" w:type="dxa"/>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高丘</w:t>
            </w:r>
          </w:p>
          <w:p>
            <w:pPr>
              <w:adjustRightInd w:val="0"/>
              <w:snapToGrid w:val="0"/>
              <w:ind w:firstLine="480" w:firstLineChars="200"/>
              <w:jc w:val="center"/>
              <w:rPr>
                <w:rFonts w:ascii="仿宋" w:hAnsi="仿宋" w:eastAsia="仿宋"/>
                <w:color w:val="auto"/>
                <w:sz w:val="24"/>
              </w:rPr>
            </w:pPr>
            <w:r>
              <w:rPr>
                <w:rFonts w:ascii="仿宋" w:hAnsi="仿宋" w:eastAsia="仿宋"/>
                <w:color w:val="auto"/>
                <w:sz w:val="24"/>
              </w:rPr>
              <w:t>(</w:t>
            </w:r>
            <w:r>
              <w:rPr>
                <w:rFonts w:hint="eastAsia" w:ascii="仿宋" w:hAnsi="仿宋" w:eastAsia="仿宋"/>
                <w:color w:val="auto"/>
                <w:sz w:val="24"/>
              </w:rPr>
              <w:t>Ⅱ</w:t>
            </w:r>
            <w:r>
              <w:rPr>
                <w:rFonts w:ascii="仿宋" w:hAnsi="仿宋" w:eastAsia="仿宋"/>
                <w:color w:val="auto"/>
                <w:sz w:val="24"/>
              </w:rPr>
              <w:t>3)</w:t>
            </w:r>
          </w:p>
        </w:tc>
        <w:tc>
          <w:tcPr>
            <w:tcW w:w="1345" w:type="dxa"/>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中低丘</w:t>
            </w:r>
          </w:p>
          <w:p>
            <w:pPr>
              <w:adjustRightInd w:val="0"/>
              <w:snapToGrid w:val="0"/>
              <w:ind w:firstLine="480" w:firstLineChars="200"/>
              <w:jc w:val="center"/>
              <w:rPr>
                <w:rFonts w:ascii="仿宋" w:hAnsi="仿宋" w:eastAsia="仿宋"/>
                <w:color w:val="auto"/>
                <w:sz w:val="24"/>
              </w:rPr>
            </w:pPr>
            <w:r>
              <w:rPr>
                <w:rFonts w:ascii="仿宋" w:hAnsi="仿宋" w:eastAsia="仿宋"/>
                <w:color w:val="auto"/>
                <w:sz w:val="24"/>
              </w:rPr>
              <w:t>(</w:t>
            </w:r>
            <w:r>
              <w:rPr>
                <w:rFonts w:hint="eastAsia" w:ascii="仿宋" w:hAnsi="仿宋" w:eastAsia="仿宋"/>
                <w:color w:val="auto"/>
                <w:sz w:val="24"/>
              </w:rPr>
              <w:t>Ⅱ1、Ⅱ2</w:t>
            </w:r>
            <w:r>
              <w:rPr>
                <w:rFonts w:ascii="仿宋" w:hAnsi="仿宋" w:eastAsia="仿宋"/>
                <w:color w:val="auto"/>
                <w:sz w:val="24"/>
              </w:rPr>
              <w:t>)</w:t>
            </w:r>
          </w:p>
        </w:tc>
        <w:tc>
          <w:tcPr>
            <w:tcW w:w="2127" w:type="dxa"/>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平原-波状平原</w:t>
            </w:r>
          </w:p>
          <w:p>
            <w:pPr>
              <w:adjustRightInd w:val="0"/>
              <w:snapToGrid w:val="0"/>
              <w:ind w:firstLine="480" w:firstLineChars="200"/>
              <w:jc w:val="center"/>
              <w:rPr>
                <w:rFonts w:ascii="仿宋" w:hAnsi="仿宋" w:eastAsia="仿宋"/>
                <w:color w:val="auto"/>
                <w:sz w:val="24"/>
              </w:rPr>
            </w:pPr>
            <w:r>
              <w:rPr>
                <w:rFonts w:ascii="仿宋" w:hAnsi="仿宋" w:eastAsia="仿宋"/>
                <w:color w:val="auto"/>
                <w:sz w:val="24"/>
              </w:rPr>
              <w:t>(</w:t>
            </w:r>
            <w:r>
              <w:rPr>
                <w:rFonts w:hint="eastAsia" w:ascii="仿宋" w:hAnsi="仿宋" w:eastAsia="仿宋"/>
                <w:color w:val="auto"/>
                <w:sz w:val="24"/>
              </w:rPr>
              <w:t>Ⅰ</w:t>
            </w:r>
            <w:r>
              <w:rPr>
                <w:rFonts w:hint="eastAsia" w:ascii="仿宋" w:hAnsi="仿宋" w:eastAsia="仿宋"/>
                <w:color w:val="auto"/>
                <w:sz w:val="24"/>
                <w:vertAlign w:val="subscript"/>
              </w:rPr>
              <w:t>1</w:t>
            </w:r>
            <w:r>
              <w:rPr>
                <w:rFonts w:hint="eastAsia" w:ascii="仿宋" w:hAnsi="仿宋" w:eastAsia="仿宋"/>
                <w:color w:val="auto"/>
                <w:sz w:val="24"/>
              </w:rPr>
              <w:t>、Ⅰ</w:t>
            </w:r>
            <w:r>
              <w:rPr>
                <w:rFonts w:hint="eastAsia" w:ascii="仿宋" w:hAnsi="仿宋" w:eastAsia="仿宋"/>
                <w:color w:val="auto"/>
                <w:sz w:val="24"/>
                <w:vertAlign w:val="subscript"/>
              </w:rPr>
              <w:t>2</w:t>
            </w:r>
            <w:r>
              <w:rPr>
                <w:rFonts w:ascii="仿宋" w:hAnsi="仿宋" w:eastAsia="仿宋"/>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839"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降水</w:t>
            </w:r>
            <w:r>
              <w:rPr>
                <w:rFonts w:hint="eastAsia" w:ascii="仿宋" w:hAnsi="仿宋" w:eastAsia="仿宋"/>
                <w:color w:val="auto"/>
                <w:sz w:val="24"/>
              </w:rPr>
              <w:t>量</w:t>
            </w:r>
            <w:r>
              <w:rPr>
                <w:rFonts w:ascii="仿宋" w:hAnsi="仿宋" w:eastAsia="仿宋"/>
                <w:color w:val="auto"/>
                <w:sz w:val="24"/>
              </w:rPr>
              <w:t>(mm)</w:t>
            </w:r>
          </w:p>
        </w:tc>
        <w:tc>
          <w:tcPr>
            <w:tcW w:w="851"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0.20</w:t>
            </w:r>
          </w:p>
        </w:tc>
        <w:tc>
          <w:tcPr>
            <w:tcW w:w="1984"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&gt;1600</w:t>
            </w:r>
          </w:p>
        </w:tc>
        <w:tc>
          <w:tcPr>
            <w:tcW w:w="1418"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1400,1600</w:t>
            </w:r>
          </w:p>
        </w:tc>
        <w:tc>
          <w:tcPr>
            <w:tcW w:w="1345"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1200,1400</w:t>
            </w:r>
          </w:p>
        </w:tc>
        <w:tc>
          <w:tcPr>
            <w:tcW w:w="2127"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&lt;1000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839"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工程地质岩组</w:t>
            </w:r>
          </w:p>
        </w:tc>
        <w:tc>
          <w:tcPr>
            <w:tcW w:w="851"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0.25</w:t>
            </w:r>
          </w:p>
        </w:tc>
        <w:tc>
          <w:tcPr>
            <w:tcW w:w="1984"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岩土体条件差</w:t>
            </w:r>
          </w:p>
        </w:tc>
        <w:tc>
          <w:tcPr>
            <w:tcW w:w="1418" w:type="dxa"/>
            <w:vAlign w:val="center"/>
          </w:tcPr>
          <w:p>
            <w:pPr>
              <w:adjustRightInd w:val="0"/>
              <w:snapToGrid w:val="0"/>
              <w:jc w:val="center"/>
              <w:rPr>
                <w:rFonts w:ascii="仿宋" w:hAnsi="仿宋" w:eastAsia="仿宋"/>
                <w:color w:val="auto"/>
                <w:sz w:val="24"/>
              </w:rPr>
            </w:pPr>
            <w:r>
              <w:rPr>
                <w:rFonts w:ascii="仿宋" w:hAnsi="仿宋" w:eastAsia="仿宋"/>
                <w:color w:val="auto"/>
                <w:sz w:val="24"/>
              </w:rPr>
              <w:t>岩土体条件较差</w:t>
            </w:r>
          </w:p>
        </w:tc>
        <w:tc>
          <w:tcPr>
            <w:tcW w:w="1345"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岩土体条件一般</w:t>
            </w:r>
          </w:p>
        </w:tc>
        <w:tc>
          <w:tcPr>
            <w:tcW w:w="2127" w:type="dxa"/>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岩土体条件较好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1839" w:type="dxa"/>
            <w:vAlign w:val="center"/>
          </w:tcPr>
          <w:p>
            <w:pPr>
              <w:adjustRightInd w:val="0"/>
              <w:snapToGrid w:val="0"/>
              <w:spacing w:line="280" w:lineRule="exact"/>
              <w:ind w:firstLine="480" w:firstLineChars="200"/>
              <w:jc w:val="center"/>
              <w:rPr>
                <w:rFonts w:ascii="仿宋" w:hAnsi="仿宋" w:eastAsia="仿宋"/>
                <w:color w:val="auto"/>
                <w:sz w:val="24"/>
              </w:rPr>
            </w:pPr>
            <w:r>
              <w:rPr>
                <w:rFonts w:hint="eastAsia" w:ascii="仿宋" w:hAnsi="仿宋" w:eastAsia="仿宋"/>
                <w:color w:val="auto"/>
                <w:sz w:val="24"/>
              </w:rPr>
              <w:t>人类工程</w:t>
            </w:r>
          </w:p>
          <w:p>
            <w:pPr>
              <w:adjustRightInd w:val="0"/>
              <w:snapToGrid w:val="0"/>
              <w:spacing w:line="280" w:lineRule="exact"/>
              <w:ind w:firstLine="480" w:firstLineChars="200"/>
              <w:jc w:val="center"/>
              <w:rPr>
                <w:rFonts w:ascii="仿宋" w:hAnsi="仿宋" w:eastAsia="仿宋"/>
                <w:color w:val="auto"/>
                <w:sz w:val="24"/>
              </w:rPr>
            </w:pPr>
            <w:r>
              <w:rPr>
                <w:rFonts w:hint="eastAsia" w:ascii="仿宋" w:hAnsi="仿宋" w:eastAsia="仿宋"/>
                <w:color w:val="auto"/>
                <w:sz w:val="24"/>
              </w:rPr>
              <w:t>活动强度</w:t>
            </w:r>
          </w:p>
        </w:tc>
        <w:tc>
          <w:tcPr>
            <w:tcW w:w="851" w:type="dxa"/>
            <w:vAlign w:val="center"/>
          </w:tcPr>
          <w:p>
            <w:pPr>
              <w:adjustRightInd w:val="0"/>
              <w:snapToGrid w:val="0"/>
              <w:spacing w:line="280" w:lineRule="exact"/>
              <w:jc w:val="center"/>
              <w:rPr>
                <w:rFonts w:ascii="仿宋" w:hAnsi="仿宋" w:eastAsia="仿宋"/>
                <w:color w:val="auto"/>
                <w:sz w:val="24"/>
              </w:rPr>
            </w:pPr>
            <w:r>
              <w:rPr>
                <w:rFonts w:hint="eastAsia" w:ascii="仿宋" w:hAnsi="仿宋" w:eastAsia="仿宋"/>
                <w:color w:val="auto"/>
                <w:sz w:val="24"/>
              </w:rPr>
              <w:t>0.15</w:t>
            </w:r>
          </w:p>
        </w:tc>
        <w:tc>
          <w:tcPr>
            <w:tcW w:w="1984" w:type="dxa"/>
            <w:vAlign w:val="center"/>
          </w:tcPr>
          <w:p>
            <w:pPr>
              <w:adjustRightInd w:val="0"/>
              <w:snapToGrid w:val="0"/>
              <w:spacing w:line="280" w:lineRule="exact"/>
              <w:rPr>
                <w:rFonts w:ascii="仿宋" w:hAnsi="仿宋" w:eastAsia="仿宋"/>
                <w:color w:val="auto"/>
                <w:sz w:val="24"/>
              </w:rPr>
            </w:pPr>
            <w:r>
              <w:rPr>
                <w:rFonts w:hint="eastAsia" w:ascii="仿宋" w:hAnsi="仿宋" w:eastAsia="仿宋"/>
                <w:color w:val="auto"/>
                <w:sz w:val="24"/>
              </w:rPr>
              <w:t>重要工程、露天大中型矿山分布区</w:t>
            </w:r>
          </w:p>
        </w:tc>
        <w:tc>
          <w:tcPr>
            <w:tcW w:w="1418" w:type="dxa"/>
            <w:vAlign w:val="center"/>
          </w:tcPr>
          <w:p>
            <w:pPr>
              <w:adjustRightInd w:val="0"/>
              <w:snapToGrid w:val="0"/>
              <w:spacing w:line="280" w:lineRule="exact"/>
              <w:rPr>
                <w:rFonts w:ascii="仿宋" w:hAnsi="仿宋" w:eastAsia="仿宋"/>
                <w:color w:val="auto"/>
                <w:sz w:val="24"/>
              </w:rPr>
            </w:pPr>
            <w:r>
              <w:rPr>
                <w:rFonts w:hint="eastAsia" w:ascii="仿宋" w:hAnsi="仿宋" w:eastAsia="仿宋"/>
                <w:color w:val="auto"/>
                <w:sz w:val="24"/>
              </w:rPr>
              <w:t>人口集中区、重要经济区、交通干线</w:t>
            </w:r>
          </w:p>
        </w:tc>
        <w:tc>
          <w:tcPr>
            <w:tcW w:w="1345" w:type="dxa"/>
            <w:vAlign w:val="center"/>
          </w:tcPr>
          <w:p>
            <w:pPr>
              <w:adjustRightInd w:val="0"/>
              <w:snapToGrid w:val="0"/>
              <w:spacing w:line="280" w:lineRule="exact"/>
              <w:rPr>
                <w:rFonts w:ascii="仿宋" w:hAnsi="仿宋" w:eastAsia="仿宋"/>
                <w:color w:val="auto"/>
                <w:sz w:val="24"/>
              </w:rPr>
            </w:pPr>
            <w:r>
              <w:rPr>
                <w:rFonts w:hint="eastAsia" w:ascii="仿宋" w:hAnsi="仿宋" w:eastAsia="仿宋"/>
                <w:color w:val="auto"/>
                <w:sz w:val="24"/>
              </w:rPr>
              <w:t>一般农村、农业耕作区</w:t>
            </w:r>
          </w:p>
        </w:tc>
        <w:tc>
          <w:tcPr>
            <w:tcW w:w="2127" w:type="dxa"/>
            <w:vAlign w:val="center"/>
          </w:tcPr>
          <w:p>
            <w:pPr>
              <w:adjustRightInd w:val="0"/>
              <w:snapToGrid w:val="0"/>
              <w:spacing w:line="280" w:lineRule="exact"/>
              <w:rPr>
                <w:rFonts w:ascii="仿宋" w:hAnsi="仿宋" w:eastAsia="仿宋"/>
                <w:color w:val="auto"/>
                <w:sz w:val="24"/>
              </w:rPr>
            </w:pPr>
            <w:r>
              <w:rPr>
                <w:rFonts w:hint="eastAsia" w:ascii="仿宋" w:hAnsi="仿宋" w:eastAsia="仿宋"/>
                <w:color w:val="auto"/>
                <w:sz w:val="24"/>
              </w:rPr>
              <w:t>人口稀少区</w:t>
            </w:r>
          </w:p>
        </w:tc>
      </w:tr>
    </w:tbl>
    <w:p>
      <w:pPr>
        <w:spacing w:line="360" w:lineRule="auto"/>
        <w:ind w:firstLine="560" w:firstLineChars="200"/>
        <w:jc w:val="center"/>
        <w:rPr>
          <w:rFonts w:hint="eastAsia" w:ascii="宋体" w:hAnsi="宋体"/>
          <w:color w:val="auto"/>
          <w:sz w:val="28"/>
          <w:szCs w:val="28"/>
        </w:rPr>
      </w:pPr>
    </w:p>
    <w:p>
      <w:pPr>
        <w:spacing w:line="360" w:lineRule="auto"/>
        <w:ind w:firstLine="560" w:firstLineChars="200"/>
        <w:jc w:val="center"/>
        <w:rPr>
          <w:rFonts w:hint="eastAsia" w:ascii="宋体" w:hAnsi="宋体"/>
          <w:color w:val="auto"/>
          <w:sz w:val="28"/>
          <w:szCs w:val="28"/>
        </w:rPr>
      </w:pPr>
    </w:p>
    <w:p>
      <w:pPr>
        <w:spacing w:line="360" w:lineRule="auto"/>
        <w:ind w:firstLine="560" w:firstLineChars="200"/>
        <w:jc w:val="center"/>
        <w:rPr>
          <w:rFonts w:hint="eastAsia" w:ascii="宋体" w:hAnsi="宋体"/>
          <w:color w:val="auto"/>
          <w:sz w:val="28"/>
          <w:szCs w:val="28"/>
        </w:rPr>
      </w:pPr>
    </w:p>
    <w:p>
      <w:pPr>
        <w:spacing w:line="360" w:lineRule="auto"/>
        <w:ind w:firstLine="560" w:firstLineChars="200"/>
        <w:jc w:val="center"/>
        <w:rPr>
          <w:rFonts w:ascii="宋体" w:hAnsi="宋体"/>
          <w:color w:val="auto"/>
          <w:sz w:val="28"/>
          <w:szCs w:val="28"/>
        </w:rPr>
      </w:pPr>
      <w:r>
        <w:rPr>
          <w:rFonts w:hint="eastAsia" w:ascii="宋体" w:hAnsi="宋体"/>
          <w:color w:val="auto"/>
          <w:sz w:val="28"/>
          <w:szCs w:val="28"/>
        </w:rPr>
        <w:t>表6</w:t>
      </w:r>
      <w:r>
        <w:rPr>
          <w:rFonts w:ascii="宋体" w:hAnsi="宋体"/>
          <w:color w:val="auto"/>
          <w:sz w:val="28"/>
          <w:szCs w:val="28"/>
        </w:rPr>
        <w:t>-</w:t>
      </w:r>
      <w:r>
        <w:rPr>
          <w:rFonts w:hint="eastAsia" w:ascii="宋体" w:hAnsi="宋体"/>
          <w:color w:val="auto"/>
          <w:sz w:val="28"/>
          <w:szCs w:val="28"/>
        </w:rPr>
        <w:t>2    各致灾因子权重赋值表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9"/>
        <w:gridCol w:w="1257"/>
        <w:gridCol w:w="1153"/>
        <w:gridCol w:w="1635"/>
        <w:gridCol w:w="1940"/>
        <w:gridCol w:w="1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04" w:hRule="atLeast"/>
          <w:jc w:val="center"/>
        </w:trPr>
        <w:tc>
          <w:tcPr>
            <w:tcW w:w="753" w:type="pct"/>
            <w:tcMar>
              <w:left w:w="28" w:type="dxa"/>
              <w:right w:w="28" w:type="dxa"/>
            </w:tcMar>
            <w:vAlign w:val="center"/>
          </w:tcPr>
          <w:p>
            <w:pPr>
              <w:spacing w:line="420" w:lineRule="atLeast"/>
              <w:jc w:val="center"/>
              <w:rPr>
                <w:rFonts w:ascii="仿宋" w:hAnsi="仿宋" w:eastAsia="仿宋"/>
                <w:color w:val="auto"/>
                <w:kern w:val="0"/>
                <w:sz w:val="24"/>
              </w:rPr>
            </w:pPr>
            <w:r>
              <w:rPr>
                <w:rFonts w:hint="eastAsia" w:ascii="仿宋" w:hAnsi="仿宋" w:eastAsia="仿宋"/>
                <w:color w:val="auto"/>
                <w:kern w:val="0"/>
                <w:sz w:val="24"/>
              </w:rPr>
              <w:t>致灾因子</w:t>
            </w:r>
          </w:p>
        </w:tc>
        <w:tc>
          <w:tcPr>
            <w:tcW w:w="672" w:type="pct"/>
            <w:tcMar>
              <w:left w:w="28" w:type="dxa"/>
              <w:right w:w="28" w:type="dxa"/>
            </w:tcMar>
            <w:vAlign w:val="center"/>
          </w:tcPr>
          <w:p>
            <w:pPr>
              <w:spacing w:line="420" w:lineRule="atLeast"/>
              <w:jc w:val="center"/>
              <w:rPr>
                <w:rFonts w:ascii="仿宋" w:hAnsi="仿宋" w:eastAsia="仿宋"/>
                <w:color w:val="auto"/>
                <w:kern w:val="0"/>
                <w:sz w:val="24"/>
              </w:rPr>
            </w:pPr>
            <w:r>
              <w:rPr>
                <w:rFonts w:hint="eastAsia" w:ascii="仿宋" w:hAnsi="仿宋" w:eastAsia="仿宋"/>
                <w:color w:val="auto"/>
                <w:kern w:val="0"/>
                <w:sz w:val="24"/>
              </w:rPr>
              <w:t>地形地貌</w:t>
            </w:r>
          </w:p>
        </w:tc>
        <w:tc>
          <w:tcPr>
            <w:tcW w:w="616" w:type="pct"/>
            <w:tcMar>
              <w:left w:w="28" w:type="dxa"/>
              <w:right w:w="28" w:type="dxa"/>
            </w:tcMar>
            <w:vAlign w:val="center"/>
          </w:tcPr>
          <w:p>
            <w:pPr>
              <w:spacing w:line="420" w:lineRule="atLeast"/>
              <w:ind w:firstLine="480" w:firstLineChars="200"/>
              <w:jc w:val="center"/>
              <w:rPr>
                <w:rFonts w:ascii="仿宋" w:hAnsi="仿宋" w:eastAsia="仿宋"/>
                <w:color w:val="auto"/>
                <w:kern w:val="0"/>
                <w:sz w:val="24"/>
              </w:rPr>
            </w:pPr>
            <w:r>
              <w:rPr>
                <w:rFonts w:hint="eastAsia" w:ascii="仿宋" w:hAnsi="仿宋" w:eastAsia="仿宋"/>
                <w:color w:val="auto"/>
                <w:kern w:val="0"/>
                <w:sz w:val="24"/>
              </w:rPr>
              <w:t>岩组</w:t>
            </w:r>
          </w:p>
          <w:p>
            <w:pPr>
              <w:spacing w:line="420" w:lineRule="atLeast"/>
              <w:ind w:firstLine="480" w:firstLineChars="200"/>
              <w:jc w:val="center"/>
              <w:rPr>
                <w:rFonts w:ascii="仿宋" w:hAnsi="仿宋" w:eastAsia="仿宋"/>
                <w:color w:val="auto"/>
                <w:kern w:val="0"/>
                <w:sz w:val="24"/>
              </w:rPr>
            </w:pPr>
            <w:r>
              <w:rPr>
                <w:rFonts w:hint="eastAsia" w:ascii="仿宋" w:hAnsi="仿宋" w:eastAsia="仿宋"/>
                <w:color w:val="auto"/>
                <w:kern w:val="0"/>
                <w:sz w:val="24"/>
              </w:rPr>
              <w:t>类型</w:t>
            </w:r>
          </w:p>
        </w:tc>
        <w:tc>
          <w:tcPr>
            <w:tcW w:w="874" w:type="pct"/>
            <w:tcMar>
              <w:left w:w="28" w:type="dxa"/>
              <w:right w:w="28" w:type="dxa"/>
            </w:tcMar>
            <w:vAlign w:val="center"/>
          </w:tcPr>
          <w:p>
            <w:pPr>
              <w:spacing w:line="420" w:lineRule="atLeast"/>
              <w:ind w:firstLine="480" w:firstLineChars="200"/>
              <w:jc w:val="center"/>
              <w:rPr>
                <w:rFonts w:ascii="仿宋" w:hAnsi="仿宋" w:eastAsia="仿宋"/>
                <w:color w:val="auto"/>
                <w:kern w:val="0"/>
                <w:sz w:val="24"/>
              </w:rPr>
            </w:pPr>
            <w:r>
              <w:rPr>
                <w:rFonts w:hint="eastAsia" w:ascii="仿宋" w:hAnsi="仿宋" w:eastAsia="仿宋"/>
                <w:color w:val="auto"/>
                <w:kern w:val="0"/>
                <w:sz w:val="24"/>
              </w:rPr>
              <w:t>地质灾害</w:t>
            </w:r>
          </w:p>
          <w:p>
            <w:pPr>
              <w:spacing w:line="420" w:lineRule="atLeast"/>
              <w:ind w:firstLine="480" w:firstLineChars="200"/>
              <w:jc w:val="center"/>
              <w:rPr>
                <w:rFonts w:ascii="仿宋" w:hAnsi="仿宋" w:eastAsia="仿宋"/>
                <w:color w:val="auto"/>
                <w:kern w:val="0"/>
                <w:sz w:val="24"/>
              </w:rPr>
            </w:pPr>
            <w:r>
              <w:rPr>
                <w:rFonts w:hint="eastAsia" w:ascii="仿宋" w:hAnsi="仿宋" w:eastAsia="仿宋"/>
                <w:color w:val="auto"/>
                <w:kern w:val="0"/>
                <w:sz w:val="24"/>
              </w:rPr>
              <w:t>强度</w:t>
            </w:r>
          </w:p>
        </w:tc>
        <w:tc>
          <w:tcPr>
            <w:tcW w:w="1037" w:type="pct"/>
            <w:tcMar>
              <w:left w:w="28" w:type="dxa"/>
              <w:right w:w="28" w:type="dxa"/>
            </w:tcMar>
            <w:vAlign w:val="center"/>
          </w:tcPr>
          <w:p>
            <w:pPr>
              <w:spacing w:line="420" w:lineRule="atLeast"/>
              <w:ind w:firstLine="480" w:firstLineChars="200"/>
              <w:jc w:val="center"/>
              <w:rPr>
                <w:rFonts w:ascii="仿宋" w:hAnsi="仿宋" w:eastAsia="仿宋"/>
                <w:color w:val="auto"/>
                <w:kern w:val="0"/>
                <w:sz w:val="24"/>
              </w:rPr>
            </w:pPr>
            <w:r>
              <w:rPr>
                <w:rFonts w:hint="eastAsia" w:ascii="仿宋" w:hAnsi="仿宋" w:eastAsia="仿宋"/>
                <w:color w:val="auto"/>
                <w:kern w:val="0"/>
                <w:sz w:val="24"/>
              </w:rPr>
              <w:t>多年平均</w:t>
            </w:r>
          </w:p>
          <w:p>
            <w:pPr>
              <w:spacing w:line="420" w:lineRule="atLeast"/>
              <w:ind w:firstLine="480" w:firstLineChars="200"/>
              <w:jc w:val="center"/>
              <w:rPr>
                <w:rFonts w:ascii="仿宋" w:hAnsi="仿宋" w:eastAsia="仿宋"/>
                <w:color w:val="auto"/>
                <w:kern w:val="0"/>
                <w:sz w:val="24"/>
              </w:rPr>
            </w:pPr>
            <w:r>
              <w:rPr>
                <w:rFonts w:hint="eastAsia" w:ascii="仿宋" w:hAnsi="仿宋" w:eastAsia="仿宋"/>
                <w:color w:val="auto"/>
                <w:kern w:val="0"/>
                <w:sz w:val="24"/>
              </w:rPr>
              <w:t>降水量</w:t>
            </w:r>
          </w:p>
        </w:tc>
        <w:tc>
          <w:tcPr>
            <w:tcW w:w="1048" w:type="pct"/>
            <w:tcMar>
              <w:left w:w="28" w:type="dxa"/>
              <w:right w:w="28" w:type="dxa"/>
            </w:tcMar>
            <w:vAlign w:val="center"/>
          </w:tcPr>
          <w:p>
            <w:pPr>
              <w:spacing w:line="420" w:lineRule="atLeast"/>
              <w:jc w:val="center"/>
              <w:rPr>
                <w:rFonts w:ascii="仿宋" w:hAnsi="仿宋" w:eastAsia="仿宋"/>
                <w:color w:val="auto"/>
                <w:kern w:val="0"/>
                <w:sz w:val="24"/>
              </w:rPr>
            </w:pPr>
            <w:r>
              <w:rPr>
                <w:rFonts w:hint="eastAsia" w:ascii="仿宋" w:hAnsi="仿宋" w:eastAsia="仿宋"/>
                <w:color w:val="auto"/>
                <w:kern w:val="0"/>
                <w:sz w:val="24"/>
              </w:rPr>
              <w:t>人类工程活动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3" w:type="pct"/>
            <w:tcMar>
              <w:left w:w="28" w:type="dxa"/>
              <w:right w:w="28" w:type="dxa"/>
            </w:tcMar>
            <w:vAlign w:val="center"/>
          </w:tcPr>
          <w:p>
            <w:pPr>
              <w:spacing w:line="420" w:lineRule="atLeast"/>
              <w:jc w:val="center"/>
              <w:rPr>
                <w:rFonts w:ascii="仿宋" w:hAnsi="仿宋" w:eastAsia="仿宋"/>
                <w:color w:val="auto"/>
                <w:kern w:val="0"/>
                <w:sz w:val="24"/>
              </w:rPr>
            </w:pPr>
            <w:r>
              <w:rPr>
                <w:rFonts w:hint="eastAsia" w:ascii="仿宋" w:hAnsi="仿宋" w:eastAsia="仿宋"/>
                <w:color w:val="auto"/>
                <w:kern w:val="0"/>
                <w:sz w:val="24"/>
              </w:rPr>
              <w:t>赋值权重</w:t>
            </w:r>
          </w:p>
        </w:tc>
        <w:tc>
          <w:tcPr>
            <w:tcW w:w="672" w:type="pct"/>
            <w:tcMar>
              <w:left w:w="28" w:type="dxa"/>
              <w:right w:w="28" w:type="dxa"/>
            </w:tcMar>
            <w:vAlign w:val="center"/>
          </w:tcPr>
          <w:p>
            <w:pPr>
              <w:spacing w:line="420" w:lineRule="atLeast"/>
              <w:jc w:val="center"/>
              <w:rPr>
                <w:rFonts w:ascii="仿宋" w:hAnsi="仿宋" w:eastAsia="仿宋"/>
                <w:color w:val="auto"/>
                <w:kern w:val="0"/>
                <w:sz w:val="24"/>
              </w:rPr>
            </w:pPr>
            <w:r>
              <w:rPr>
                <w:rFonts w:hint="eastAsia" w:ascii="仿宋" w:hAnsi="仿宋" w:eastAsia="仿宋"/>
                <w:color w:val="auto"/>
                <w:kern w:val="0"/>
                <w:sz w:val="24"/>
              </w:rPr>
              <w:t>0</w:t>
            </w:r>
            <w:r>
              <w:rPr>
                <w:rFonts w:ascii="仿宋" w:hAnsi="仿宋" w:eastAsia="仿宋"/>
                <w:color w:val="auto"/>
                <w:kern w:val="0"/>
                <w:sz w:val="24"/>
              </w:rPr>
              <w:t>.</w:t>
            </w:r>
            <w:r>
              <w:rPr>
                <w:rFonts w:hint="eastAsia" w:ascii="仿宋" w:hAnsi="仿宋" w:eastAsia="仿宋"/>
                <w:color w:val="auto"/>
                <w:kern w:val="0"/>
                <w:sz w:val="24"/>
              </w:rPr>
              <w:t>35</w:t>
            </w:r>
          </w:p>
        </w:tc>
        <w:tc>
          <w:tcPr>
            <w:tcW w:w="616" w:type="pct"/>
            <w:tcMar>
              <w:left w:w="28" w:type="dxa"/>
              <w:right w:w="28" w:type="dxa"/>
            </w:tcMar>
            <w:vAlign w:val="center"/>
          </w:tcPr>
          <w:p>
            <w:pPr>
              <w:spacing w:line="420" w:lineRule="atLeast"/>
              <w:jc w:val="center"/>
              <w:rPr>
                <w:rFonts w:ascii="仿宋" w:hAnsi="仿宋" w:eastAsia="仿宋"/>
                <w:color w:val="auto"/>
                <w:kern w:val="0"/>
                <w:sz w:val="24"/>
              </w:rPr>
            </w:pPr>
            <w:r>
              <w:rPr>
                <w:rFonts w:ascii="仿宋" w:hAnsi="仿宋" w:eastAsia="仿宋"/>
                <w:color w:val="auto"/>
                <w:kern w:val="0"/>
                <w:sz w:val="24"/>
              </w:rPr>
              <w:t>0.2</w:t>
            </w:r>
            <w:r>
              <w:rPr>
                <w:rFonts w:hint="eastAsia" w:ascii="仿宋" w:hAnsi="仿宋" w:eastAsia="仿宋"/>
                <w:color w:val="auto"/>
                <w:kern w:val="0"/>
                <w:sz w:val="24"/>
              </w:rPr>
              <w:t>5</w:t>
            </w:r>
          </w:p>
        </w:tc>
        <w:tc>
          <w:tcPr>
            <w:tcW w:w="874" w:type="pct"/>
            <w:tcMar>
              <w:left w:w="28" w:type="dxa"/>
              <w:right w:w="28" w:type="dxa"/>
            </w:tcMar>
            <w:vAlign w:val="center"/>
          </w:tcPr>
          <w:p>
            <w:pPr>
              <w:spacing w:line="420" w:lineRule="atLeast"/>
              <w:jc w:val="center"/>
              <w:rPr>
                <w:rFonts w:ascii="仿宋" w:hAnsi="仿宋" w:eastAsia="仿宋"/>
                <w:color w:val="auto"/>
                <w:kern w:val="0"/>
                <w:sz w:val="24"/>
              </w:rPr>
            </w:pPr>
            <w:r>
              <w:rPr>
                <w:rFonts w:ascii="仿宋" w:hAnsi="仿宋" w:eastAsia="仿宋"/>
                <w:color w:val="auto"/>
                <w:kern w:val="0"/>
                <w:sz w:val="24"/>
              </w:rPr>
              <w:t>0.</w:t>
            </w:r>
            <w:r>
              <w:rPr>
                <w:rFonts w:hint="eastAsia" w:ascii="仿宋" w:hAnsi="仿宋" w:eastAsia="仿宋"/>
                <w:color w:val="auto"/>
                <w:kern w:val="0"/>
                <w:sz w:val="24"/>
              </w:rPr>
              <w:t>05</w:t>
            </w:r>
          </w:p>
        </w:tc>
        <w:tc>
          <w:tcPr>
            <w:tcW w:w="1037" w:type="pct"/>
            <w:tcMar>
              <w:left w:w="28" w:type="dxa"/>
              <w:right w:w="28" w:type="dxa"/>
            </w:tcMar>
            <w:vAlign w:val="center"/>
          </w:tcPr>
          <w:p>
            <w:pPr>
              <w:spacing w:line="420" w:lineRule="atLeast"/>
              <w:jc w:val="center"/>
              <w:rPr>
                <w:rFonts w:ascii="仿宋" w:hAnsi="仿宋" w:eastAsia="仿宋"/>
                <w:color w:val="auto"/>
                <w:kern w:val="0"/>
                <w:sz w:val="24"/>
              </w:rPr>
            </w:pPr>
            <w:r>
              <w:rPr>
                <w:rFonts w:hint="eastAsia" w:ascii="仿宋" w:hAnsi="仿宋" w:eastAsia="仿宋"/>
                <w:color w:val="auto"/>
                <w:kern w:val="0"/>
                <w:sz w:val="24"/>
              </w:rPr>
              <w:t>0.2</w:t>
            </w:r>
          </w:p>
        </w:tc>
        <w:tc>
          <w:tcPr>
            <w:tcW w:w="1048" w:type="pct"/>
            <w:tcMar>
              <w:left w:w="28" w:type="dxa"/>
              <w:right w:w="28" w:type="dxa"/>
            </w:tcMar>
            <w:vAlign w:val="center"/>
          </w:tcPr>
          <w:p>
            <w:pPr>
              <w:spacing w:line="420" w:lineRule="atLeast"/>
              <w:jc w:val="center"/>
              <w:rPr>
                <w:rFonts w:ascii="仿宋" w:hAnsi="仿宋" w:eastAsia="仿宋"/>
                <w:color w:val="auto"/>
                <w:kern w:val="0"/>
                <w:sz w:val="24"/>
              </w:rPr>
            </w:pPr>
            <w:r>
              <w:rPr>
                <w:rFonts w:ascii="仿宋" w:hAnsi="仿宋" w:eastAsia="仿宋"/>
                <w:color w:val="auto"/>
                <w:kern w:val="0"/>
                <w:sz w:val="24"/>
              </w:rPr>
              <w:t>0.15</w:t>
            </w:r>
          </w:p>
        </w:tc>
      </w:tr>
    </w:tbl>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Ai－计算单元面积。</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现状崩塌、滑坡、泥石流灾害强度指数计算：现状崩塌、滑坡灾害强度指数（Zx）等于灾害点密度系数（a）、灾害面积密度系数(b)、灾害体积密度系数 (c)之和，其中a、b、c数值均经归一化处理，具体处理如下：</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ai=第i个单元格内崩塌、滑坡、泥石流总数/平均个数（无量纲）；</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bi=第i个单元格内崩塌、滑坡、泥石流总面积/平均面积（无量纲）；</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ci=第i个单元格内崩塌、滑坡、泥石流总体积/平均体积（无量纲）；</w:t>
      </w:r>
    </w:p>
    <w:p>
      <w:pPr>
        <w:adjustRightInd w:val="0"/>
        <w:snapToGrid w:val="0"/>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根据各单元格的综合得分划分崩塌、滑坡、泥石流地质灾害易发程度分区，见表6</w:t>
      </w:r>
      <w:r>
        <w:rPr>
          <w:rFonts w:ascii="仿宋" w:hAnsi="仿宋" w:eastAsia="仿宋"/>
          <w:color w:val="auto"/>
          <w:sz w:val="30"/>
          <w:szCs w:val="30"/>
        </w:rPr>
        <w:t>-3</w:t>
      </w:r>
      <w:r>
        <w:rPr>
          <w:rFonts w:hint="eastAsia" w:ascii="仿宋" w:hAnsi="仿宋" w:eastAsia="仿宋"/>
          <w:color w:val="auto"/>
          <w:sz w:val="30"/>
          <w:szCs w:val="30"/>
        </w:rPr>
        <w:t>。</w:t>
      </w:r>
    </w:p>
    <w:p>
      <w:pPr>
        <w:spacing w:line="360" w:lineRule="auto"/>
        <w:ind w:firstLine="560" w:firstLineChars="200"/>
        <w:jc w:val="center"/>
        <w:rPr>
          <w:rFonts w:ascii="宋体" w:hAnsi="宋体"/>
          <w:color w:val="auto"/>
          <w:sz w:val="28"/>
          <w:szCs w:val="28"/>
        </w:rPr>
      </w:pPr>
      <w:r>
        <w:rPr>
          <w:rFonts w:ascii="宋体" w:hAnsi="宋体"/>
          <w:color w:val="auto"/>
          <w:sz w:val="28"/>
          <w:szCs w:val="28"/>
        </w:rPr>
        <w:t>表</w:t>
      </w:r>
      <w:r>
        <w:rPr>
          <w:rFonts w:hint="eastAsia" w:ascii="宋体" w:hAnsi="宋体"/>
          <w:color w:val="auto"/>
          <w:sz w:val="28"/>
          <w:szCs w:val="28"/>
        </w:rPr>
        <w:t>6</w:t>
      </w:r>
      <w:r>
        <w:rPr>
          <w:rFonts w:ascii="宋体" w:hAnsi="宋体"/>
          <w:color w:val="auto"/>
          <w:sz w:val="28"/>
          <w:szCs w:val="28"/>
        </w:rPr>
        <w:t>-</w:t>
      </w:r>
      <w:r>
        <w:rPr>
          <w:rFonts w:hint="eastAsia" w:ascii="宋体" w:hAnsi="宋体"/>
          <w:color w:val="auto"/>
          <w:sz w:val="28"/>
          <w:szCs w:val="28"/>
        </w:rPr>
        <w:t>3  地质灾害综合危险性指数易发程度</w:t>
      </w:r>
      <w:r>
        <w:rPr>
          <w:rFonts w:ascii="宋体" w:hAnsi="宋体"/>
          <w:color w:val="auto"/>
          <w:sz w:val="28"/>
          <w:szCs w:val="28"/>
        </w:rPr>
        <w:t xml:space="preserve">分区标准      </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17"/>
        <w:gridCol w:w="1631"/>
        <w:gridCol w:w="1852"/>
        <w:gridCol w:w="1916"/>
        <w:gridCol w:w="1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1323" w:type="pct"/>
            <w:vAlign w:val="center"/>
          </w:tcPr>
          <w:p>
            <w:pPr>
              <w:jc w:val="center"/>
              <w:rPr>
                <w:rFonts w:ascii="仿宋" w:hAnsi="仿宋" w:eastAsia="仿宋"/>
                <w:color w:val="auto"/>
                <w:sz w:val="24"/>
              </w:rPr>
            </w:pPr>
            <w:r>
              <w:rPr>
                <w:rFonts w:ascii="仿宋" w:hAnsi="仿宋" w:eastAsia="仿宋"/>
                <w:color w:val="auto"/>
                <w:sz w:val="24"/>
              </w:rPr>
              <w:t>分区级别</w:t>
            </w:r>
          </w:p>
        </w:tc>
        <w:tc>
          <w:tcPr>
            <w:tcW w:w="857" w:type="pct"/>
            <w:vAlign w:val="center"/>
          </w:tcPr>
          <w:p>
            <w:pPr>
              <w:jc w:val="center"/>
              <w:rPr>
                <w:rFonts w:ascii="仿宋" w:hAnsi="仿宋" w:eastAsia="仿宋"/>
                <w:color w:val="auto"/>
                <w:sz w:val="24"/>
              </w:rPr>
            </w:pPr>
            <w:r>
              <w:rPr>
                <w:rFonts w:hint="eastAsia" w:ascii="仿宋" w:hAnsi="仿宋" w:eastAsia="仿宋"/>
                <w:color w:val="auto"/>
                <w:sz w:val="24"/>
              </w:rPr>
              <w:t>高易发区</w:t>
            </w:r>
          </w:p>
        </w:tc>
        <w:tc>
          <w:tcPr>
            <w:tcW w:w="973" w:type="pct"/>
            <w:vAlign w:val="center"/>
          </w:tcPr>
          <w:p>
            <w:pPr>
              <w:jc w:val="center"/>
              <w:rPr>
                <w:rFonts w:ascii="仿宋" w:hAnsi="仿宋" w:eastAsia="仿宋"/>
                <w:color w:val="auto"/>
                <w:sz w:val="24"/>
              </w:rPr>
            </w:pPr>
            <w:r>
              <w:rPr>
                <w:rFonts w:hint="eastAsia" w:ascii="仿宋" w:hAnsi="仿宋" w:eastAsia="仿宋"/>
                <w:color w:val="auto"/>
                <w:sz w:val="24"/>
              </w:rPr>
              <w:t>中易发区</w:t>
            </w:r>
          </w:p>
        </w:tc>
        <w:tc>
          <w:tcPr>
            <w:tcW w:w="1007" w:type="pct"/>
            <w:vAlign w:val="center"/>
          </w:tcPr>
          <w:p>
            <w:pPr>
              <w:jc w:val="center"/>
              <w:rPr>
                <w:rFonts w:ascii="仿宋" w:hAnsi="仿宋" w:eastAsia="仿宋"/>
                <w:color w:val="auto"/>
                <w:sz w:val="24"/>
              </w:rPr>
            </w:pPr>
            <w:r>
              <w:rPr>
                <w:rFonts w:hint="eastAsia" w:ascii="仿宋" w:hAnsi="仿宋" w:eastAsia="仿宋"/>
                <w:color w:val="auto"/>
                <w:sz w:val="24"/>
              </w:rPr>
              <w:t>低易发区</w:t>
            </w:r>
          </w:p>
        </w:tc>
        <w:tc>
          <w:tcPr>
            <w:tcW w:w="840" w:type="pct"/>
            <w:vAlign w:val="center"/>
          </w:tcPr>
          <w:p>
            <w:pPr>
              <w:jc w:val="center"/>
              <w:rPr>
                <w:rFonts w:ascii="仿宋" w:hAnsi="仿宋" w:eastAsia="仿宋"/>
                <w:color w:val="auto"/>
                <w:sz w:val="24"/>
              </w:rPr>
            </w:pPr>
            <w:r>
              <w:rPr>
                <w:rFonts w:hint="eastAsia" w:ascii="仿宋" w:hAnsi="仿宋" w:eastAsia="仿宋"/>
                <w:color w:val="auto"/>
                <w:sz w:val="24"/>
              </w:rPr>
              <w:t>非易发区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323" w:type="pct"/>
            <w:vAlign w:val="center"/>
          </w:tcPr>
          <w:p>
            <w:pPr>
              <w:jc w:val="center"/>
              <w:rPr>
                <w:rFonts w:ascii="仿宋" w:hAnsi="仿宋" w:eastAsia="仿宋"/>
                <w:color w:val="auto"/>
                <w:sz w:val="24"/>
              </w:rPr>
            </w:pPr>
            <w:r>
              <w:rPr>
                <w:rFonts w:hint="eastAsia" w:ascii="仿宋" w:hAnsi="仿宋" w:eastAsia="仿宋"/>
                <w:color w:val="auto"/>
                <w:sz w:val="24"/>
              </w:rPr>
              <w:t>综合危险性指数</w:t>
            </w:r>
            <w:r>
              <w:rPr>
                <w:rFonts w:ascii="仿宋" w:hAnsi="仿宋" w:eastAsia="仿宋"/>
                <w:color w:val="auto"/>
                <w:sz w:val="24"/>
              </w:rPr>
              <w:t>(</w:t>
            </w:r>
            <w:r>
              <w:rPr>
                <w:rFonts w:hint="eastAsia" w:ascii="仿宋" w:hAnsi="仿宋" w:eastAsia="仿宋"/>
                <w:color w:val="auto"/>
                <w:sz w:val="24"/>
              </w:rPr>
              <w:t>Z</w:t>
            </w:r>
            <w:r>
              <w:rPr>
                <w:rFonts w:ascii="仿宋" w:hAnsi="仿宋" w:eastAsia="仿宋"/>
                <w:color w:val="auto"/>
                <w:sz w:val="24"/>
              </w:rPr>
              <w:t>)</w:t>
            </w:r>
          </w:p>
        </w:tc>
        <w:tc>
          <w:tcPr>
            <w:tcW w:w="857" w:type="pct"/>
            <w:vAlign w:val="center"/>
          </w:tcPr>
          <w:p>
            <w:pPr>
              <w:jc w:val="center"/>
              <w:rPr>
                <w:rFonts w:ascii="仿宋" w:hAnsi="仿宋" w:eastAsia="仿宋"/>
                <w:color w:val="auto"/>
                <w:sz w:val="24"/>
              </w:rPr>
            </w:pPr>
            <w:r>
              <w:rPr>
                <w:rFonts w:ascii="仿宋" w:hAnsi="仿宋" w:eastAsia="仿宋"/>
                <w:color w:val="auto"/>
                <w:sz w:val="24"/>
              </w:rPr>
              <w:t>≥</w:t>
            </w:r>
            <w:r>
              <w:rPr>
                <w:rFonts w:hint="eastAsia" w:ascii="仿宋" w:hAnsi="仿宋" w:eastAsia="仿宋"/>
                <w:color w:val="auto"/>
                <w:sz w:val="24"/>
              </w:rPr>
              <w:t>3.1</w:t>
            </w:r>
          </w:p>
        </w:tc>
        <w:tc>
          <w:tcPr>
            <w:tcW w:w="973" w:type="pct"/>
            <w:vAlign w:val="center"/>
          </w:tcPr>
          <w:p>
            <w:pPr>
              <w:jc w:val="center"/>
              <w:rPr>
                <w:rFonts w:ascii="仿宋" w:hAnsi="仿宋" w:eastAsia="仿宋"/>
                <w:color w:val="auto"/>
                <w:sz w:val="24"/>
              </w:rPr>
            </w:pPr>
            <w:r>
              <w:rPr>
                <w:rFonts w:hint="eastAsia" w:ascii="仿宋" w:hAnsi="仿宋" w:eastAsia="仿宋"/>
                <w:color w:val="auto"/>
                <w:sz w:val="24"/>
              </w:rPr>
              <w:t>2.3-2.7</w:t>
            </w:r>
          </w:p>
        </w:tc>
        <w:tc>
          <w:tcPr>
            <w:tcW w:w="1007" w:type="pct"/>
            <w:vAlign w:val="center"/>
          </w:tcPr>
          <w:p>
            <w:pPr>
              <w:jc w:val="center"/>
              <w:rPr>
                <w:rFonts w:ascii="仿宋" w:hAnsi="仿宋" w:eastAsia="仿宋"/>
                <w:color w:val="auto"/>
                <w:sz w:val="24"/>
              </w:rPr>
            </w:pPr>
            <w:r>
              <w:rPr>
                <w:rFonts w:hint="eastAsia" w:ascii="仿宋" w:hAnsi="仿宋" w:eastAsia="仿宋"/>
                <w:color w:val="auto"/>
                <w:sz w:val="24"/>
              </w:rPr>
              <w:t>1.9-2.3</w:t>
            </w:r>
          </w:p>
        </w:tc>
        <w:tc>
          <w:tcPr>
            <w:tcW w:w="840" w:type="pct"/>
            <w:vAlign w:val="center"/>
          </w:tcPr>
          <w:p>
            <w:pPr>
              <w:jc w:val="center"/>
              <w:rPr>
                <w:rFonts w:ascii="仿宋" w:hAnsi="仿宋" w:eastAsia="仿宋"/>
                <w:color w:val="auto"/>
                <w:sz w:val="24"/>
              </w:rPr>
            </w:pPr>
            <w:r>
              <w:rPr>
                <w:rFonts w:hint="eastAsia" w:ascii="仿宋" w:hAnsi="仿宋" w:eastAsia="仿宋"/>
                <w:color w:val="auto"/>
                <w:sz w:val="24"/>
              </w:rPr>
              <w:t>&lt;1.9</w:t>
            </w: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（2）地面塌陷灾害评价方法</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①采空塌陷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根据全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采空塌陷灾害现状，重点依据可采矿层的分布范围、开采影响范围及采空塌陷发展趋势进行易发区划分。</w:t>
      </w:r>
      <w:r>
        <w:rPr>
          <w:rFonts w:ascii="仿宋" w:hAnsi="仿宋" w:eastAsia="仿宋"/>
          <w:color w:val="auto"/>
          <w:sz w:val="30"/>
          <w:szCs w:val="30"/>
        </w:rPr>
        <w:t>按</w:t>
      </w:r>
      <w:r>
        <w:rPr>
          <w:rFonts w:hint="eastAsia" w:ascii="仿宋" w:hAnsi="仿宋" w:eastAsia="仿宋"/>
          <w:color w:val="auto"/>
          <w:sz w:val="30"/>
          <w:szCs w:val="30"/>
        </w:rPr>
        <w:t>地面塌陷破坏面积比例划</w:t>
      </w:r>
      <w:r>
        <w:rPr>
          <w:rFonts w:ascii="仿宋" w:hAnsi="仿宋" w:eastAsia="仿宋"/>
          <w:color w:val="auto"/>
          <w:sz w:val="30"/>
          <w:szCs w:val="30"/>
        </w:rPr>
        <w:t>分高、中、低易发区</w:t>
      </w:r>
      <w:r>
        <w:rPr>
          <w:rFonts w:hint="eastAsia" w:ascii="仿宋" w:hAnsi="仿宋" w:eastAsia="仿宋"/>
          <w:color w:val="auto"/>
          <w:sz w:val="30"/>
          <w:szCs w:val="30"/>
        </w:rPr>
        <w:t>，见表4</w:t>
      </w:r>
      <w:r>
        <w:rPr>
          <w:rFonts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②岩溶塌陷</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根据</w:t>
      </w:r>
      <w:r>
        <w:rPr>
          <w:rFonts w:hint="eastAsia" w:ascii="仿宋" w:hAnsi="仿宋" w:eastAsia="仿宋"/>
          <w:color w:val="auto"/>
          <w:sz w:val="30"/>
          <w:szCs w:val="30"/>
        </w:rPr>
        <w:t>《安徽省市县地质灾害防治规划编制细则》，将碳酸盐岩埋藏深度小于70m的区域划为岩溶塌陷易发区（表6</w:t>
      </w:r>
      <w:r>
        <w:rPr>
          <w:rFonts w:ascii="仿宋" w:hAnsi="仿宋" w:eastAsia="仿宋"/>
          <w:color w:val="auto"/>
          <w:sz w:val="30"/>
          <w:szCs w:val="30"/>
        </w:rPr>
        <w:t>-4</w:t>
      </w:r>
      <w:r>
        <w:rPr>
          <w:rFonts w:hint="eastAsia" w:ascii="仿宋" w:hAnsi="仿宋" w:eastAsia="仿宋"/>
          <w:color w:val="auto"/>
          <w:sz w:val="30"/>
          <w:szCs w:val="30"/>
        </w:rPr>
        <w:t>），再根据塌陷坑点密度（</w:t>
      </w:r>
      <w:r>
        <w:rPr>
          <w:rFonts w:ascii="仿宋" w:hAnsi="仿宋" w:eastAsia="仿宋"/>
          <w:color w:val="auto"/>
          <w:sz w:val="30"/>
          <w:szCs w:val="30"/>
        </w:rPr>
        <w:t>个/km</w:t>
      </w:r>
      <w:r>
        <w:rPr>
          <w:rFonts w:ascii="仿宋" w:hAnsi="仿宋" w:eastAsia="仿宋"/>
          <w:color w:val="auto"/>
          <w:sz w:val="30"/>
          <w:szCs w:val="30"/>
          <w:vertAlign w:val="superscript"/>
        </w:rPr>
        <w:t>2</w:t>
      </w:r>
      <w:r>
        <w:rPr>
          <w:rFonts w:hint="eastAsia" w:ascii="仿宋" w:hAnsi="仿宋" w:eastAsia="仿宋"/>
          <w:color w:val="auto"/>
          <w:sz w:val="30"/>
          <w:szCs w:val="30"/>
        </w:rPr>
        <w:t>）、碳酸盐岩性质及地下水交替作用强度，将全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碳酸盐岩浅埋区划分为高、中、低易发区。</w:t>
      </w:r>
    </w:p>
    <w:p>
      <w:pPr>
        <w:spacing w:line="360" w:lineRule="auto"/>
        <w:ind w:firstLine="560" w:firstLineChars="200"/>
        <w:jc w:val="center"/>
        <w:rPr>
          <w:rFonts w:ascii="宋体" w:hAnsi="宋体"/>
          <w:color w:val="auto"/>
          <w:sz w:val="28"/>
          <w:szCs w:val="28"/>
        </w:rPr>
      </w:pPr>
      <w:r>
        <w:rPr>
          <w:rFonts w:hint="eastAsia" w:ascii="宋体" w:hAnsi="宋体"/>
          <w:color w:val="auto"/>
          <w:sz w:val="28"/>
          <w:szCs w:val="28"/>
        </w:rPr>
        <w:t>表6</w:t>
      </w:r>
      <w:r>
        <w:rPr>
          <w:rFonts w:ascii="宋体" w:hAnsi="宋体"/>
          <w:color w:val="auto"/>
          <w:sz w:val="28"/>
          <w:szCs w:val="28"/>
        </w:rPr>
        <w:t>-</w:t>
      </w:r>
      <w:r>
        <w:rPr>
          <w:rFonts w:hint="eastAsia" w:ascii="宋体" w:hAnsi="宋体"/>
          <w:color w:val="auto"/>
          <w:sz w:val="28"/>
          <w:szCs w:val="28"/>
        </w:rPr>
        <w:t>4  地面塌陷、岩溶塌陷等灾害易发区划分方法简表</w:t>
      </w:r>
    </w:p>
    <w:tbl>
      <w:tblPr>
        <w:tblStyle w:val="3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9"/>
        <w:gridCol w:w="2287"/>
        <w:gridCol w:w="2137"/>
        <w:gridCol w:w="1846"/>
        <w:gridCol w:w="2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562" w:type="pct"/>
            <w:vMerge w:val="restar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地质灾害种类</w:t>
            </w:r>
          </w:p>
        </w:tc>
        <w:tc>
          <w:tcPr>
            <w:tcW w:w="3295" w:type="pct"/>
            <w:gridSpan w:val="3"/>
            <w:shd w:val="clear" w:color="auto" w:fill="auto"/>
            <w:vAlign w:val="center"/>
          </w:tcPr>
          <w:p>
            <w:pPr>
              <w:adjustRightInd w:val="0"/>
              <w:snapToGrid w:val="0"/>
              <w:jc w:val="center"/>
              <w:rPr>
                <w:rFonts w:ascii="仿宋" w:hAnsi="仿宋" w:eastAsia="仿宋"/>
                <w:color w:val="auto"/>
                <w:sz w:val="24"/>
              </w:rPr>
            </w:pPr>
            <w:r>
              <w:rPr>
                <w:rFonts w:ascii="仿宋" w:hAnsi="仿宋" w:eastAsia="仿宋"/>
                <w:color w:val="auto"/>
                <w:sz w:val="24"/>
              </w:rPr>
              <w:t>地质灾害易发区</w:t>
            </w:r>
          </w:p>
        </w:tc>
        <w:tc>
          <w:tcPr>
            <w:tcW w:w="1143" w:type="pct"/>
            <w:vMerge w:val="restart"/>
            <w:shd w:val="clear" w:color="auto" w:fill="auto"/>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562" w:type="pct"/>
            <w:vMerge w:val="continue"/>
            <w:vAlign w:val="center"/>
          </w:tcPr>
          <w:p>
            <w:pPr>
              <w:adjustRightInd w:val="0"/>
              <w:snapToGrid w:val="0"/>
              <w:jc w:val="center"/>
              <w:rPr>
                <w:rFonts w:ascii="仿宋" w:hAnsi="仿宋" w:eastAsia="仿宋"/>
                <w:color w:val="auto"/>
                <w:sz w:val="24"/>
              </w:rPr>
            </w:pPr>
          </w:p>
        </w:tc>
        <w:tc>
          <w:tcPr>
            <w:tcW w:w="1202" w:type="pct"/>
            <w:shd w:val="clear" w:color="auto" w:fill="auto"/>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高</w:t>
            </w:r>
            <w:r>
              <w:rPr>
                <w:rFonts w:ascii="仿宋" w:hAnsi="仿宋" w:eastAsia="仿宋"/>
                <w:color w:val="auto"/>
                <w:sz w:val="24"/>
              </w:rPr>
              <w:t>易发区</w:t>
            </w:r>
          </w:p>
        </w:tc>
        <w:tc>
          <w:tcPr>
            <w:tcW w:w="1123" w:type="pc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中</w:t>
            </w:r>
            <w:r>
              <w:rPr>
                <w:rFonts w:ascii="仿宋" w:hAnsi="仿宋" w:eastAsia="仿宋"/>
                <w:color w:val="auto"/>
                <w:sz w:val="24"/>
              </w:rPr>
              <w:t>易发区</w:t>
            </w:r>
          </w:p>
        </w:tc>
        <w:tc>
          <w:tcPr>
            <w:tcW w:w="970" w:type="pc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低</w:t>
            </w:r>
            <w:r>
              <w:rPr>
                <w:rFonts w:ascii="仿宋" w:hAnsi="仿宋" w:eastAsia="仿宋"/>
                <w:color w:val="auto"/>
                <w:sz w:val="24"/>
              </w:rPr>
              <w:t>易发区</w:t>
            </w:r>
          </w:p>
        </w:tc>
        <w:tc>
          <w:tcPr>
            <w:tcW w:w="1143" w:type="pct"/>
            <w:vMerge w:val="continue"/>
            <w:vAlign w:val="center"/>
          </w:tcPr>
          <w:p>
            <w:pPr>
              <w:adjustRightInd w:val="0"/>
              <w:snapToGrid w:val="0"/>
              <w:jc w:val="center"/>
              <w:rPr>
                <w:rFonts w:ascii="仿宋" w:hAnsi="仿宋" w:eastAsia="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562" w:type="pct"/>
            <w:vMerge w:val="restart"/>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采空</w:t>
            </w:r>
          </w:p>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塌陷</w:t>
            </w:r>
          </w:p>
        </w:tc>
        <w:tc>
          <w:tcPr>
            <w:tcW w:w="1202" w:type="pct"/>
            <w:shd w:val="clear" w:color="auto" w:fill="auto"/>
            <w:vAlign w:val="center"/>
          </w:tcPr>
          <w:p>
            <w:pPr>
              <w:adjustRightInd w:val="0"/>
              <w:snapToGrid w:val="0"/>
              <w:jc w:val="center"/>
              <w:rPr>
                <w:rFonts w:ascii="仿宋" w:hAnsi="仿宋" w:eastAsia="仿宋"/>
                <w:color w:val="auto"/>
                <w:sz w:val="24"/>
              </w:rPr>
            </w:pPr>
            <w:r>
              <w:rPr>
                <w:rFonts w:ascii="仿宋" w:hAnsi="仿宋" w:eastAsia="仿宋"/>
                <w:color w:val="auto"/>
                <w:sz w:val="24"/>
              </w:rPr>
              <w:t>S</w:t>
            </w:r>
            <w:r>
              <w:rPr>
                <w:rFonts w:hint="eastAsia" w:ascii="仿宋" w:hAnsi="仿宋" w:eastAsia="仿宋"/>
                <w:color w:val="auto"/>
                <w:sz w:val="24"/>
              </w:rPr>
              <w:t>≥1000</w:t>
            </w:r>
          </w:p>
        </w:tc>
        <w:tc>
          <w:tcPr>
            <w:tcW w:w="1123" w:type="pc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500≤</w:t>
            </w:r>
            <w:r>
              <w:rPr>
                <w:rFonts w:ascii="仿宋" w:hAnsi="仿宋" w:eastAsia="仿宋"/>
                <w:color w:val="auto"/>
                <w:sz w:val="24"/>
              </w:rPr>
              <w:t>S</w:t>
            </w:r>
            <w:r>
              <w:rPr>
                <w:rFonts w:hint="eastAsia" w:ascii="仿宋" w:hAnsi="仿宋" w:eastAsia="仿宋"/>
                <w:color w:val="auto"/>
                <w:sz w:val="24"/>
              </w:rPr>
              <w:t>＜1000</w:t>
            </w:r>
          </w:p>
        </w:tc>
        <w:tc>
          <w:tcPr>
            <w:tcW w:w="970" w:type="pct"/>
            <w:vAlign w:val="center"/>
          </w:tcPr>
          <w:p>
            <w:pPr>
              <w:adjustRightInd w:val="0"/>
              <w:snapToGrid w:val="0"/>
              <w:jc w:val="center"/>
              <w:rPr>
                <w:rFonts w:ascii="仿宋" w:hAnsi="仿宋" w:eastAsia="仿宋"/>
                <w:color w:val="auto"/>
                <w:sz w:val="24"/>
              </w:rPr>
            </w:pPr>
            <w:r>
              <w:rPr>
                <w:rFonts w:ascii="仿宋" w:hAnsi="仿宋" w:eastAsia="仿宋"/>
                <w:color w:val="auto"/>
                <w:sz w:val="24"/>
              </w:rPr>
              <w:t>S</w:t>
            </w:r>
            <w:r>
              <w:rPr>
                <w:rFonts w:hint="eastAsia" w:ascii="仿宋" w:hAnsi="仿宋" w:eastAsia="仿宋"/>
                <w:color w:val="auto"/>
                <w:sz w:val="24"/>
              </w:rPr>
              <w:t>＜500</w:t>
            </w:r>
          </w:p>
        </w:tc>
        <w:tc>
          <w:tcPr>
            <w:tcW w:w="1143" w:type="pct"/>
            <w:vMerge w:val="restar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S为地面塌陷破坏面积（</w:t>
            </w:r>
            <w:r>
              <w:rPr>
                <w:rFonts w:ascii="仿宋" w:hAnsi="仿宋" w:eastAsia="仿宋"/>
                <w:color w:val="auto"/>
                <w:sz w:val="24"/>
              </w:rPr>
              <w:t>m</w:t>
            </w:r>
            <w:r>
              <w:rPr>
                <w:rFonts w:ascii="仿宋" w:hAnsi="仿宋" w:eastAsia="仿宋"/>
                <w:color w:val="auto"/>
                <w:sz w:val="24"/>
                <w:vertAlign w:val="superscript"/>
              </w:rPr>
              <w:t>2</w:t>
            </w:r>
            <w:r>
              <w:rPr>
                <w:rFonts w:hint="eastAsia" w:ascii="仿宋" w:hAnsi="仿宋" w:eastAsia="仿宋"/>
                <w:color w:val="auto"/>
                <w:sz w:val="24"/>
              </w:rPr>
              <w:t>/</w:t>
            </w:r>
            <w:r>
              <w:rPr>
                <w:rFonts w:ascii="仿宋" w:hAnsi="仿宋" w:eastAsia="仿宋"/>
                <w:color w:val="auto"/>
                <w:sz w:val="24"/>
              </w:rPr>
              <w:t>km</w:t>
            </w:r>
            <w:r>
              <w:rPr>
                <w:rFonts w:ascii="仿宋" w:hAnsi="仿宋" w:eastAsia="仿宋"/>
                <w:color w:val="auto"/>
                <w:sz w:val="24"/>
                <w:vertAlign w:val="superscript"/>
              </w:rPr>
              <w:t>2</w:t>
            </w:r>
            <w:r>
              <w:rPr>
                <w:rFonts w:hint="eastAsia" w:ascii="仿宋" w:hAnsi="仿宋" w:eastAsia="仿宋"/>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562" w:type="pct"/>
            <w:vMerge w:val="continue"/>
            <w:vAlign w:val="center"/>
          </w:tcPr>
          <w:p>
            <w:pPr>
              <w:adjustRightInd w:val="0"/>
              <w:snapToGrid w:val="0"/>
              <w:jc w:val="center"/>
              <w:rPr>
                <w:rFonts w:ascii="仿宋" w:hAnsi="仿宋" w:eastAsia="仿宋"/>
                <w:color w:val="auto"/>
                <w:sz w:val="24"/>
              </w:rPr>
            </w:pPr>
          </w:p>
        </w:tc>
        <w:tc>
          <w:tcPr>
            <w:tcW w:w="1202" w:type="pct"/>
            <w:shd w:val="clear" w:color="auto" w:fill="auto"/>
            <w:vAlign w:val="center"/>
          </w:tcPr>
          <w:p>
            <w:pPr>
              <w:adjustRightInd w:val="0"/>
              <w:snapToGrid w:val="0"/>
              <w:rPr>
                <w:rFonts w:ascii="仿宋" w:hAnsi="仿宋" w:eastAsia="仿宋"/>
                <w:color w:val="auto"/>
                <w:sz w:val="24"/>
              </w:rPr>
            </w:pPr>
            <w:r>
              <w:rPr>
                <w:rFonts w:hint="eastAsia" w:ascii="仿宋" w:hAnsi="仿宋" w:eastAsia="仿宋"/>
                <w:color w:val="auto"/>
                <w:sz w:val="24"/>
              </w:rPr>
              <w:t>矿业活动强烈，以大中型井工矿山为主，开采厚度大</w:t>
            </w:r>
          </w:p>
        </w:tc>
        <w:tc>
          <w:tcPr>
            <w:tcW w:w="1123" w:type="pct"/>
            <w:vAlign w:val="center"/>
          </w:tcPr>
          <w:p>
            <w:pPr>
              <w:adjustRightInd w:val="0"/>
              <w:snapToGrid w:val="0"/>
              <w:rPr>
                <w:rFonts w:ascii="仿宋" w:hAnsi="仿宋" w:eastAsia="仿宋"/>
                <w:color w:val="auto"/>
                <w:sz w:val="24"/>
              </w:rPr>
            </w:pPr>
            <w:r>
              <w:rPr>
                <w:rFonts w:hint="eastAsia" w:ascii="仿宋" w:hAnsi="仿宋" w:eastAsia="仿宋"/>
                <w:color w:val="auto"/>
                <w:sz w:val="24"/>
              </w:rPr>
              <w:t>矿业活动强烈，以中小型井工矿山为主</w:t>
            </w:r>
          </w:p>
        </w:tc>
        <w:tc>
          <w:tcPr>
            <w:tcW w:w="970" w:type="pct"/>
            <w:vAlign w:val="center"/>
          </w:tcPr>
          <w:p>
            <w:pPr>
              <w:adjustRightInd w:val="0"/>
              <w:snapToGrid w:val="0"/>
              <w:rPr>
                <w:rFonts w:ascii="仿宋" w:hAnsi="仿宋" w:eastAsia="仿宋"/>
                <w:color w:val="auto"/>
                <w:sz w:val="24"/>
              </w:rPr>
            </w:pPr>
            <w:r>
              <w:rPr>
                <w:rFonts w:hint="eastAsia" w:ascii="仿宋" w:hAnsi="仿宋" w:eastAsia="仿宋"/>
                <w:color w:val="auto"/>
                <w:sz w:val="24"/>
              </w:rPr>
              <w:t>小型井下矿业活动较强烈</w:t>
            </w:r>
          </w:p>
        </w:tc>
        <w:tc>
          <w:tcPr>
            <w:tcW w:w="1143" w:type="pct"/>
            <w:vMerge w:val="continue"/>
            <w:vAlign w:val="center"/>
          </w:tcPr>
          <w:p>
            <w:pPr>
              <w:adjustRightInd w:val="0"/>
              <w:snapToGrid w:val="0"/>
              <w:jc w:val="center"/>
              <w:rPr>
                <w:rFonts w:ascii="仿宋" w:hAnsi="仿宋" w:eastAsia="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jc w:val="center"/>
        </w:trPr>
        <w:tc>
          <w:tcPr>
            <w:tcW w:w="562" w:type="pct"/>
            <w:vMerge w:val="restart"/>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岩溶</w:t>
            </w:r>
          </w:p>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塌陷</w:t>
            </w:r>
          </w:p>
        </w:tc>
        <w:tc>
          <w:tcPr>
            <w:tcW w:w="1202" w:type="pct"/>
            <w:shd w:val="clear" w:color="auto" w:fill="auto"/>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R≥0.5</w:t>
            </w:r>
          </w:p>
        </w:tc>
        <w:tc>
          <w:tcPr>
            <w:tcW w:w="1123" w:type="pc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0.1≤R</w:t>
            </w:r>
            <w:r>
              <w:rPr>
                <w:rFonts w:ascii="仿宋" w:hAnsi="仿宋" w:eastAsia="仿宋"/>
                <w:color w:val="auto"/>
                <w:sz w:val="24"/>
              </w:rPr>
              <w:t>＜</w:t>
            </w:r>
            <w:r>
              <w:rPr>
                <w:rFonts w:hint="eastAsia" w:ascii="仿宋" w:hAnsi="仿宋" w:eastAsia="仿宋"/>
                <w:color w:val="auto"/>
                <w:sz w:val="24"/>
              </w:rPr>
              <w:t>0.5</w:t>
            </w:r>
          </w:p>
        </w:tc>
        <w:tc>
          <w:tcPr>
            <w:tcW w:w="970" w:type="pct"/>
            <w:vAlign w:val="center"/>
          </w:tcPr>
          <w:p>
            <w:pPr>
              <w:adjustRightInd w:val="0"/>
              <w:snapToGrid w:val="0"/>
              <w:jc w:val="center"/>
              <w:rPr>
                <w:rFonts w:ascii="仿宋" w:hAnsi="仿宋" w:eastAsia="仿宋"/>
                <w:color w:val="auto"/>
                <w:sz w:val="24"/>
              </w:rPr>
            </w:pPr>
            <w:r>
              <w:rPr>
                <w:rFonts w:hint="eastAsia" w:ascii="仿宋" w:hAnsi="仿宋" w:eastAsia="仿宋"/>
                <w:color w:val="auto"/>
                <w:sz w:val="24"/>
              </w:rPr>
              <w:t>R</w:t>
            </w:r>
            <w:r>
              <w:rPr>
                <w:rFonts w:ascii="仿宋" w:hAnsi="仿宋" w:eastAsia="仿宋"/>
                <w:color w:val="auto"/>
                <w:sz w:val="24"/>
              </w:rPr>
              <w:t>＜</w:t>
            </w:r>
            <w:r>
              <w:rPr>
                <w:rFonts w:hint="eastAsia" w:ascii="仿宋" w:hAnsi="仿宋" w:eastAsia="仿宋"/>
                <w:color w:val="auto"/>
                <w:sz w:val="24"/>
              </w:rPr>
              <w:t>0.1</w:t>
            </w:r>
          </w:p>
        </w:tc>
        <w:tc>
          <w:tcPr>
            <w:tcW w:w="1143" w:type="pct"/>
            <w:vMerge w:val="restart"/>
            <w:vAlign w:val="center"/>
          </w:tcPr>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R为灾害点密度</w:t>
            </w:r>
          </w:p>
          <w:p>
            <w:pPr>
              <w:adjustRightInd w:val="0"/>
              <w:snapToGrid w:val="0"/>
              <w:ind w:firstLine="480" w:firstLineChars="200"/>
              <w:jc w:val="center"/>
              <w:rPr>
                <w:rFonts w:ascii="仿宋" w:hAnsi="仿宋" w:eastAsia="仿宋"/>
                <w:color w:val="auto"/>
                <w:sz w:val="24"/>
              </w:rPr>
            </w:pPr>
            <w:r>
              <w:rPr>
                <w:rFonts w:hint="eastAsia" w:ascii="仿宋" w:hAnsi="仿宋" w:eastAsia="仿宋"/>
                <w:color w:val="auto"/>
                <w:sz w:val="24"/>
              </w:rPr>
              <w:t>（</w:t>
            </w:r>
            <w:r>
              <w:rPr>
                <w:rFonts w:ascii="仿宋" w:hAnsi="仿宋" w:eastAsia="仿宋"/>
                <w:color w:val="auto"/>
                <w:sz w:val="24"/>
              </w:rPr>
              <w:t>个/km</w:t>
            </w:r>
            <w:r>
              <w:rPr>
                <w:rFonts w:ascii="仿宋" w:hAnsi="仿宋" w:eastAsia="仿宋"/>
                <w:color w:val="auto"/>
                <w:sz w:val="24"/>
                <w:vertAlign w:val="superscript"/>
              </w:rPr>
              <w:t>2</w:t>
            </w:r>
            <w:r>
              <w:rPr>
                <w:rFonts w:hint="eastAsia" w:ascii="仿宋" w:hAnsi="仿宋" w:eastAsia="仿宋"/>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jc w:val="center"/>
        </w:trPr>
        <w:tc>
          <w:tcPr>
            <w:tcW w:w="562" w:type="pct"/>
            <w:vMerge w:val="continue"/>
            <w:vAlign w:val="center"/>
          </w:tcPr>
          <w:p>
            <w:pPr>
              <w:adjustRightInd w:val="0"/>
              <w:snapToGrid w:val="0"/>
              <w:jc w:val="center"/>
              <w:rPr>
                <w:rFonts w:ascii="仿宋" w:hAnsi="仿宋" w:eastAsia="仿宋"/>
                <w:color w:val="auto"/>
                <w:sz w:val="24"/>
              </w:rPr>
            </w:pPr>
          </w:p>
        </w:tc>
        <w:tc>
          <w:tcPr>
            <w:tcW w:w="1202" w:type="pct"/>
            <w:shd w:val="clear" w:color="auto" w:fill="auto"/>
            <w:vAlign w:val="center"/>
          </w:tcPr>
          <w:p>
            <w:pPr>
              <w:adjustRightInd w:val="0"/>
              <w:snapToGrid w:val="0"/>
              <w:rPr>
                <w:rFonts w:ascii="仿宋" w:hAnsi="仿宋" w:eastAsia="仿宋"/>
                <w:color w:val="auto"/>
                <w:sz w:val="24"/>
              </w:rPr>
            </w:pPr>
            <w:r>
              <w:rPr>
                <w:rFonts w:hint="eastAsia" w:ascii="仿宋" w:hAnsi="仿宋" w:eastAsia="仿宋"/>
                <w:color w:val="auto"/>
                <w:sz w:val="24"/>
              </w:rPr>
              <w:t>碳酸盐岩岩性纯，连续厚度大，地下岩溶发育。</w:t>
            </w:r>
          </w:p>
        </w:tc>
        <w:tc>
          <w:tcPr>
            <w:tcW w:w="1123" w:type="pct"/>
            <w:vAlign w:val="center"/>
          </w:tcPr>
          <w:p>
            <w:pPr>
              <w:adjustRightInd w:val="0"/>
              <w:snapToGrid w:val="0"/>
              <w:rPr>
                <w:rFonts w:ascii="仿宋" w:hAnsi="仿宋" w:eastAsia="仿宋"/>
                <w:color w:val="auto"/>
                <w:sz w:val="24"/>
              </w:rPr>
            </w:pPr>
            <w:r>
              <w:rPr>
                <w:rFonts w:hint="eastAsia" w:ascii="仿宋" w:hAnsi="仿宋" w:eastAsia="仿宋"/>
                <w:color w:val="auto"/>
                <w:sz w:val="24"/>
              </w:rPr>
              <w:t>以次纯碳酸盐岩为主，多间夹型。岩溶发育深度不大。</w:t>
            </w:r>
          </w:p>
        </w:tc>
        <w:tc>
          <w:tcPr>
            <w:tcW w:w="970" w:type="pct"/>
            <w:vAlign w:val="center"/>
          </w:tcPr>
          <w:p>
            <w:pPr>
              <w:adjustRightInd w:val="0"/>
              <w:snapToGrid w:val="0"/>
              <w:rPr>
                <w:rFonts w:ascii="仿宋" w:hAnsi="仿宋" w:eastAsia="仿宋"/>
                <w:color w:val="auto"/>
                <w:sz w:val="24"/>
              </w:rPr>
            </w:pPr>
            <w:r>
              <w:rPr>
                <w:rFonts w:hint="eastAsia" w:ascii="仿宋" w:hAnsi="仿宋" w:eastAsia="仿宋"/>
                <w:color w:val="auto"/>
                <w:sz w:val="24"/>
              </w:rPr>
              <w:t>以不纯碳酸盐岩为主，多间夹型或互夹型。地下岩溶发育稀疏</w:t>
            </w:r>
          </w:p>
        </w:tc>
        <w:tc>
          <w:tcPr>
            <w:tcW w:w="1143" w:type="pct"/>
            <w:vMerge w:val="continue"/>
            <w:vAlign w:val="center"/>
          </w:tcPr>
          <w:p>
            <w:pPr>
              <w:adjustRightInd w:val="0"/>
              <w:snapToGrid w:val="0"/>
              <w:jc w:val="center"/>
              <w:rPr>
                <w:rFonts w:ascii="仿宋" w:hAnsi="仿宋" w:eastAsia="仿宋"/>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562" w:type="pct"/>
            <w:vMerge w:val="continue"/>
            <w:vAlign w:val="center"/>
          </w:tcPr>
          <w:p>
            <w:pPr>
              <w:adjustRightInd w:val="0"/>
              <w:snapToGrid w:val="0"/>
              <w:jc w:val="center"/>
              <w:rPr>
                <w:rFonts w:ascii="仿宋" w:hAnsi="仿宋" w:eastAsia="仿宋"/>
                <w:color w:val="auto"/>
                <w:sz w:val="24"/>
              </w:rPr>
            </w:pPr>
          </w:p>
        </w:tc>
        <w:tc>
          <w:tcPr>
            <w:tcW w:w="1202" w:type="pct"/>
            <w:shd w:val="clear" w:color="auto" w:fill="auto"/>
            <w:vAlign w:val="center"/>
          </w:tcPr>
          <w:p>
            <w:pPr>
              <w:adjustRightInd w:val="0"/>
              <w:snapToGrid w:val="0"/>
              <w:rPr>
                <w:rFonts w:ascii="仿宋" w:hAnsi="仿宋" w:eastAsia="仿宋"/>
                <w:color w:val="auto"/>
                <w:sz w:val="24"/>
              </w:rPr>
            </w:pPr>
            <w:r>
              <w:rPr>
                <w:rFonts w:hint="eastAsia" w:ascii="仿宋" w:hAnsi="仿宋" w:eastAsia="仿宋"/>
                <w:color w:val="auto"/>
                <w:sz w:val="24"/>
              </w:rPr>
              <w:t>人类工程活动强烈，大量抽取岩溶裂隙水</w:t>
            </w:r>
          </w:p>
        </w:tc>
        <w:tc>
          <w:tcPr>
            <w:tcW w:w="1123" w:type="pct"/>
            <w:vAlign w:val="center"/>
          </w:tcPr>
          <w:p>
            <w:pPr>
              <w:adjustRightInd w:val="0"/>
              <w:snapToGrid w:val="0"/>
              <w:rPr>
                <w:rFonts w:ascii="仿宋" w:hAnsi="仿宋" w:eastAsia="仿宋"/>
                <w:color w:val="auto"/>
                <w:sz w:val="24"/>
              </w:rPr>
            </w:pPr>
            <w:r>
              <w:rPr>
                <w:rFonts w:hint="eastAsia" w:ascii="仿宋" w:hAnsi="仿宋" w:eastAsia="仿宋"/>
                <w:color w:val="auto"/>
                <w:sz w:val="24"/>
              </w:rPr>
              <w:t>人类工程活动强烈，少量抽取岩溶裂隙水、地下水交替较强烈</w:t>
            </w:r>
          </w:p>
        </w:tc>
        <w:tc>
          <w:tcPr>
            <w:tcW w:w="970" w:type="pct"/>
            <w:vAlign w:val="center"/>
          </w:tcPr>
          <w:p>
            <w:pPr>
              <w:adjustRightInd w:val="0"/>
              <w:snapToGrid w:val="0"/>
              <w:rPr>
                <w:rFonts w:ascii="仿宋" w:hAnsi="仿宋" w:eastAsia="仿宋"/>
                <w:color w:val="auto"/>
                <w:sz w:val="24"/>
              </w:rPr>
            </w:pPr>
            <w:r>
              <w:rPr>
                <w:rFonts w:hint="eastAsia" w:ascii="仿宋" w:hAnsi="仿宋" w:eastAsia="仿宋"/>
                <w:color w:val="auto"/>
                <w:sz w:val="24"/>
              </w:rPr>
              <w:t>岩溶裂隙水不作为主要供水水源</w:t>
            </w:r>
          </w:p>
        </w:tc>
        <w:tc>
          <w:tcPr>
            <w:tcW w:w="1143" w:type="pct"/>
            <w:vAlign w:val="center"/>
          </w:tcPr>
          <w:p>
            <w:pPr>
              <w:adjustRightInd w:val="0"/>
              <w:snapToGrid w:val="0"/>
              <w:jc w:val="center"/>
              <w:rPr>
                <w:rFonts w:ascii="仿宋" w:hAnsi="仿宋" w:eastAsia="仿宋"/>
                <w:color w:val="auto"/>
                <w:sz w:val="24"/>
              </w:rPr>
            </w:pPr>
          </w:p>
        </w:tc>
      </w:tr>
    </w:tbl>
    <w:p>
      <w:pPr>
        <w:spacing w:line="360" w:lineRule="auto"/>
        <w:ind w:firstLine="602" w:firstLineChars="200"/>
        <w:rPr>
          <w:rFonts w:ascii="仿宋" w:hAnsi="仿宋" w:eastAsia="仿宋"/>
          <w:b/>
          <w:color w:val="auto"/>
          <w:sz w:val="30"/>
          <w:szCs w:val="30"/>
        </w:rPr>
      </w:pPr>
      <w:r>
        <w:rPr>
          <w:rFonts w:hint="eastAsia" w:ascii="仿宋" w:hAnsi="仿宋" w:eastAsia="仿宋"/>
          <w:b/>
          <w:color w:val="auto"/>
          <w:sz w:val="30"/>
          <w:szCs w:val="30"/>
        </w:rPr>
        <w:t>2.综合分区方法</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在单灾种易发区划分的基础上，再将各单灾种的易发区进行叠加，按就高不就低的原则，确定各地质灾害分区的易发程度等级。</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易发区划分及命名按主要灾种或多灾种组合进行，分区命名采取将分布广的、危险性大的、频率高的灾种放在前面。</w:t>
      </w:r>
    </w:p>
    <w:p>
      <w:pPr>
        <w:pStyle w:val="6"/>
        <w:ind w:firstLine="643" w:firstLineChars="200"/>
        <w:rPr>
          <w:color w:val="auto"/>
          <w:highlight w:val="none"/>
        </w:rPr>
      </w:pPr>
      <w:bookmarkStart w:id="68" w:name="_Toc24049"/>
      <w:r>
        <w:rPr>
          <w:rFonts w:hint="eastAsia"/>
          <w:color w:val="auto"/>
          <w:highlight w:val="none"/>
        </w:rPr>
        <w:t>（三）划分</w:t>
      </w:r>
      <w:bookmarkEnd w:id="65"/>
      <w:bookmarkEnd w:id="66"/>
      <w:bookmarkEnd w:id="67"/>
      <w:r>
        <w:rPr>
          <w:rFonts w:hint="eastAsia"/>
          <w:color w:val="auto"/>
          <w:highlight w:val="none"/>
        </w:rPr>
        <w:t>结果</w:t>
      </w:r>
      <w:bookmarkEnd w:id="68"/>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highlight w:val="none"/>
        </w:rPr>
      </w:pPr>
      <w:bookmarkStart w:id="69" w:name="_Toc119982587"/>
      <w:bookmarkStart w:id="70" w:name="_Toc123268793"/>
      <w:bookmarkStart w:id="71" w:name="_Toc119921761"/>
      <w:r>
        <w:rPr>
          <w:rFonts w:hint="eastAsia" w:ascii="仿宋" w:hAnsi="仿宋" w:eastAsia="仿宋"/>
          <w:color w:val="auto"/>
          <w:sz w:val="30"/>
          <w:szCs w:val="30"/>
          <w:highlight w:val="none"/>
        </w:rPr>
        <w:t>根据上述方法，将全</w:t>
      </w:r>
      <w:r>
        <w:rPr>
          <w:rFonts w:hint="eastAsia" w:ascii="仿宋" w:hAnsi="仿宋" w:eastAsia="仿宋"/>
          <w:color w:val="auto"/>
          <w:sz w:val="30"/>
          <w:szCs w:val="30"/>
          <w:highlight w:val="none"/>
          <w:lang w:val="en-US" w:eastAsia="zh-CN"/>
        </w:rPr>
        <w:t>县</w:t>
      </w:r>
      <w:r>
        <w:rPr>
          <w:rFonts w:hint="eastAsia" w:ascii="仿宋" w:hAnsi="仿宋" w:eastAsia="仿宋"/>
          <w:color w:val="auto"/>
          <w:sz w:val="30"/>
          <w:szCs w:val="30"/>
          <w:highlight w:val="none"/>
        </w:rPr>
        <w:t>地质灾害易发区划分为4个等级</w:t>
      </w:r>
      <w:r>
        <w:rPr>
          <w:rFonts w:hint="eastAsia" w:ascii="仿宋" w:hAnsi="仿宋" w:eastAsia="仿宋"/>
          <w:color w:val="auto"/>
          <w:sz w:val="30"/>
          <w:szCs w:val="30"/>
          <w:highlight w:val="none"/>
          <w:lang w:val="en-US" w:eastAsia="zh-CN"/>
        </w:rPr>
        <w:t>7</w:t>
      </w:r>
      <w:r>
        <w:rPr>
          <w:rFonts w:hint="eastAsia" w:ascii="仿宋" w:hAnsi="仿宋" w:eastAsia="仿宋"/>
          <w:color w:val="auto"/>
          <w:sz w:val="30"/>
          <w:szCs w:val="30"/>
          <w:highlight w:val="none"/>
        </w:rPr>
        <w:t>个区，其高易发区</w:t>
      </w:r>
      <w:r>
        <w:rPr>
          <w:rFonts w:hint="eastAsia" w:ascii="仿宋" w:hAnsi="仿宋" w:eastAsia="仿宋"/>
          <w:color w:val="auto"/>
          <w:sz w:val="30"/>
          <w:szCs w:val="30"/>
          <w:highlight w:val="none"/>
          <w:lang w:val="en-US" w:eastAsia="zh-CN"/>
        </w:rPr>
        <w:t>1</w:t>
      </w:r>
      <w:r>
        <w:rPr>
          <w:rFonts w:hint="eastAsia" w:ascii="仿宋" w:hAnsi="仿宋" w:eastAsia="仿宋"/>
          <w:color w:val="auto"/>
          <w:sz w:val="30"/>
          <w:szCs w:val="30"/>
          <w:highlight w:val="none"/>
        </w:rPr>
        <w:t>个，中易发区</w:t>
      </w:r>
      <w:r>
        <w:rPr>
          <w:rFonts w:hint="eastAsia" w:ascii="仿宋" w:hAnsi="仿宋" w:eastAsia="仿宋"/>
          <w:color w:val="auto"/>
          <w:sz w:val="30"/>
          <w:szCs w:val="30"/>
          <w:highlight w:val="none"/>
          <w:lang w:val="en-US" w:eastAsia="zh-CN"/>
        </w:rPr>
        <w:t>4</w:t>
      </w:r>
      <w:r>
        <w:rPr>
          <w:rFonts w:hint="eastAsia" w:ascii="仿宋" w:hAnsi="仿宋" w:eastAsia="仿宋"/>
          <w:color w:val="auto"/>
          <w:sz w:val="30"/>
          <w:szCs w:val="30"/>
          <w:highlight w:val="none"/>
        </w:rPr>
        <w:t>个、低易发区</w:t>
      </w:r>
      <w:r>
        <w:rPr>
          <w:rFonts w:hint="eastAsia" w:ascii="仿宋" w:hAnsi="仿宋" w:eastAsia="仿宋"/>
          <w:color w:val="auto"/>
          <w:sz w:val="30"/>
          <w:szCs w:val="30"/>
          <w:highlight w:val="none"/>
          <w:lang w:val="en-US" w:eastAsia="zh-CN"/>
        </w:rPr>
        <w:t>1</w:t>
      </w:r>
      <w:r>
        <w:rPr>
          <w:rFonts w:hint="eastAsia" w:ascii="仿宋" w:hAnsi="仿宋" w:eastAsia="仿宋"/>
          <w:color w:val="auto"/>
          <w:sz w:val="30"/>
          <w:szCs w:val="30"/>
          <w:highlight w:val="none"/>
        </w:rPr>
        <w:t>个、非易发区1个（见附图</w:t>
      </w:r>
      <w:r>
        <w:rPr>
          <w:rFonts w:hint="eastAsia" w:ascii="仿宋" w:hAnsi="仿宋" w:eastAsia="仿宋"/>
          <w:color w:val="auto"/>
          <w:sz w:val="30"/>
          <w:szCs w:val="30"/>
          <w:highlight w:val="none"/>
          <w:lang w:val="en-US" w:eastAsia="zh-CN"/>
        </w:rPr>
        <w:t>2</w:t>
      </w:r>
      <w:r>
        <w:rPr>
          <w:rFonts w:ascii="仿宋" w:hAnsi="仿宋" w:eastAsia="仿宋"/>
          <w:color w:val="auto"/>
          <w:sz w:val="30"/>
          <w:szCs w:val="30"/>
          <w:highlight w:val="none"/>
        </w:rPr>
        <w:t xml:space="preserve"> </w:t>
      </w:r>
      <w:r>
        <w:rPr>
          <w:rFonts w:hint="eastAsia" w:ascii="仿宋" w:hAnsi="仿宋" w:eastAsia="仿宋"/>
          <w:color w:val="auto"/>
          <w:sz w:val="30"/>
          <w:szCs w:val="30"/>
          <w:highlight w:val="none"/>
        </w:rPr>
        <w:t>），分述如下。</w:t>
      </w:r>
    </w:p>
    <w:p>
      <w:pPr>
        <w:adjustRightInd w:val="0"/>
        <w:snapToGrid w:val="0"/>
        <w:spacing w:line="360" w:lineRule="auto"/>
        <w:ind w:firstLine="643" w:firstLineChars="200"/>
        <w:rPr>
          <w:rFonts w:ascii="仿宋" w:hAnsi="仿宋" w:eastAsia="仿宋"/>
          <w:b/>
          <w:color w:val="auto"/>
          <w:sz w:val="32"/>
          <w:szCs w:val="32"/>
        </w:rPr>
      </w:pPr>
      <w:bookmarkStart w:id="72" w:name="_Toc498940101"/>
      <w:bookmarkStart w:id="73" w:name="_Toc304269058"/>
      <w:bookmarkStart w:id="74" w:name="_Toc263923348"/>
      <w:bookmarkStart w:id="75" w:name="_Toc263922939"/>
      <w:r>
        <w:rPr>
          <w:rFonts w:hint="eastAsia" w:ascii="仿宋" w:hAnsi="仿宋" w:eastAsia="仿宋"/>
          <w:b/>
          <w:color w:val="auto"/>
          <w:sz w:val="32"/>
          <w:szCs w:val="32"/>
        </w:rPr>
        <w:t>1.地质灾害高易发区</w:t>
      </w:r>
      <w:bookmarkEnd w:id="72"/>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葛公-木塔-沼潭</w:t>
      </w:r>
      <w:r>
        <w:rPr>
          <w:rFonts w:hint="eastAsia" w:ascii="仿宋" w:hAnsi="仿宋" w:eastAsia="仿宋"/>
          <w:color w:val="auto"/>
          <w:sz w:val="30"/>
          <w:szCs w:val="30"/>
        </w:rPr>
        <w:t>崩塌</w:t>
      </w:r>
      <w:r>
        <w:rPr>
          <w:rFonts w:hint="eastAsia" w:ascii="仿宋" w:hAnsi="仿宋" w:eastAsia="仿宋"/>
          <w:color w:val="auto"/>
          <w:sz w:val="32"/>
          <w:szCs w:val="32"/>
        </w:rPr>
        <w:t>、滑坡、泥石流地质灾害高易发区（Ⅰ）</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主要分布在尧渡镇东南部、葛公镇西部及南部、泥溪镇及昭潭镇东部，总面积约1007.68</w:t>
      </w:r>
      <w:r>
        <w:rPr>
          <w:rFonts w:hint="eastAsia" w:ascii="仿宋" w:hAnsi="仿宋" w:eastAsia="仿宋"/>
          <w:color w:val="auto"/>
          <w:sz w:val="32"/>
          <w:szCs w:val="32"/>
          <w:lang w:eastAsia="zh-CN"/>
        </w:rPr>
        <w:t>平方公里</w:t>
      </w:r>
      <w:r>
        <w:rPr>
          <w:rFonts w:hint="eastAsia" w:ascii="仿宋" w:hAnsi="仿宋" w:eastAsia="仿宋"/>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该区地貌类型以低山</w:t>
      </w:r>
      <w:r>
        <w:rPr>
          <w:rFonts w:hint="eastAsia" w:ascii="仿宋" w:hAnsi="仿宋" w:eastAsia="仿宋"/>
          <w:color w:val="auto"/>
          <w:sz w:val="30"/>
          <w:szCs w:val="30"/>
        </w:rPr>
        <w:t>、中高丘为主，地形起伏大，山势较为陡峻。工程地质岩组为较坚</w:t>
      </w:r>
      <w:r>
        <w:rPr>
          <w:rFonts w:hint="eastAsia" w:ascii="仿宋" w:hAnsi="仿宋" w:eastAsia="仿宋"/>
          <w:color w:val="auto"/>
          <w:sz w:val="32"/>
          <w:szCs w:val="32"/>
        </w:rPr>
        <w:t>硬一软弱片状含云母千枚岩、板岩岩组、坚硬-软弱薄-厚层状砂岩泥岩页岩为主的碎屑岩岩组，多具软弱夹层且易于风化，区内滑坡及滑坡隐患、泥石流主要发生于地形坡度较陡、残坡积物较厚的土质斜坡或冲沟。</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该区现有地质</w:t>
      </w:r>
      <w:r>
        <w:rPr>
          <w:rFonts w:hint="eastAsia" w:ascii="仿宋" w:hAnsi="仿宋" w:eastAsia="仿宋"/>
          <w:color w:val="auto"/>
          <w:sz w:val="30"/>
          <w:szCs w:val="30"/>
        </w:rPr>
        <w:t>灾害点</w:t>
      </w:r>
      <w:r>
        <w:rPr>
          <w:rFonts w:hint="eastAsia" w:ascii="仿宋" w:hAnsi="仿宋" w:eastAsia="仿宋"/>
          <w:color w:val="auto"/>
          <w:sz w:val="32"/>
          <w:szCs w:val="32"/>
        </w:rPr>
        <w:t>93处（崩塌52处、滑坡38处、泥石流3处），均为小型，威胁251户，870人生命和3206万元财产安全。</w:t>
      </w:r>
    </w:p>
    <w:p>
      <w:pPr>
        <w:adjustRightInd w:val="0"/>
        <w:snapToGrid w:val="0"/>
        <w:spacing w:line="360" w:lineRule="auto"/>
        <w:ind w:firstLine="643" w:firstLineChars="200"/>
        <w:rPr>
          <w:rFonts w:hint="eastAsia" w:ascii="仿宋" w:hAnsi="仿宋" w:eastAsia="仿宋"/>
          <w:b/>
          <w:color w:val="auto"/>
          <w:sz w:val="32"/>
          <w:szCs w:val="32"/>
        </w:rPr>
      </w:pPr>
      <w:r>
        <w:rPr>
          <w:rFonts w:hint="eastAsia" w:ascii="仿宋" w:hAnsi="仿宋" w:eastAsia="仿宋"/>
          <w:b/>
          <w:color w:val="auto"/>
          <w:sz w:val="32"/>
          <w:szCs w:val="32"/>
          <w:lang w:val="en-US" w:eastAsia="zh-CN"/>
        </w:rPr>
        <w:t>2.</w:t>
      </w:r>
      <w:r>
        <w:rPr>
          <w:rFonts w:hint="eastAsia" w:ascii="仿宋" w:hAnsi="仿宋" w:eastAsia="仿宋"/>
          <w:b/>
          <w:color w:val="auto"/>
          <w:sz w:val="32"/>
          <w:szCs w:val="32"/>
        </w:rPr>
        <w:t>地质灾害中易发区</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中易发区</w:t>
      </w:r>
      <w:r>
        <w:rPr>
          <w:rFonts w:hint="eastAsia" w:ascii="仿宋" w:hAnsi="仿宋" w:eastAsia="仿宋"/>
          <w:color w:val="auto"/>
          <w:sz w:val="30"/>
          <w:szCs w:val="30"/>
          <w:lang w:val="en-US" w:eastAsia="zh-CN"/>
        </w:rPr>
        <w:t>面积</w:t>
      </w:r>
      <w:r>
        <w:rPr>
          <w:rFonts w:hint="eastAsia" w:ascii="仿宋" w:hAnsi="仿宋" w:eastAsia="仿宋"/>
          <w:color w:val="auto"/>
          <w:sz w:val="32"/>
          <w:szCs w:val="32"/>
        </w:rPr>
        <w:t>13</w:t>
      </w:r>
      <w:r>
        <w:rPr>
          <w:rFonts w:hint="eastAsia" w:ascii="仿宋" w:hAnsi="仿宋" w:eastAsia="仿宋"/>
          <w:color w:val="auto"/>
          <w:sz w:val="32"/>
          <w:szCs w:val="32"/>
          <w:lang w:val="en-US" w:eastAsia="zh-CN"/>
        </w:rPr>
        <w:t>84.41</w:t>
      </w:r>
      <w:r>
        <w:rPr>
          <w:rFonts w:hint="eastAsia" w:ascii="仿宋" w:hAnsi="仿宋" w:eastAsia="仿宋"/>
          <w:color w:val="auto"/>
          <w:sz w:val="32"/>
          <w:szCs w:val="32"/>
          <w:lang w:eastAsia="zh-CN"/>
        </w:rPr>
        <w:t>平方公里</w:t>
      </w:r>
      <w:r>
        <w:rPr>
          <w:rFonts w:hint="eastAsia" w:ascii="仿宋" w:hAnsi="仿宋" w:eastAsia="仿宋"/>
          <w:color w:val="auto"/>
          <w:sz w:val="32"/>
          <w:szCs w:val="32"/>
        </w:rPr>
        <w:t>。分为4个亚区。</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（1）青山-官港-尧渡崩塌、滑坡、泥石流地质灾害中易发区（Ⅱ1）</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该区位于青山</w:t>
      </w:r>
      <w:r>
        <w:rPr>
          <w:rFonts w:hint="eastAsia" w:ascii="仿宋" w:hAnsi="仿宋" w:eastAsia="仿宋"/>
          <w:color w:val="auto"/>
          <w:sz w:val="32"/>
          <w:szCs w:val="32"/>
          <w:lang w:eastAsia="zh-CN"/>
        </w:rPr>
        <w:t>、</w:t>
      </w:r>
      <w:r>
        <w:rPr>
          <w:rFonts w:hint="eastAsia" w:ascii="仿宋" w:hAnsi="仿宋" w:eastAsia="仿宋"/>
          <w:color w:val="auto"/>
          <w:sz w:val="32"/>
          <w:szCs w:val="32"/>
          <w:lang w:val="en-US" w:eastAsia="zh-CN"/>
        </w:rPr>
        <w:t>官港、</w:t>
      </w:r>
      <w:r>
        <w:rPr>
          <w:rFonts w:hint="eastAsia" w:ascii="仿宋" w:hAnsi="仿宋" w:eastAsia="仿宋"/>
          <w:color w:val="auto"/>
          <w:sz w:val="32"/>
          <w:szCs w:val="32"/>
        </w:rPr>
        <w:t>尧渡</w:t>
      </w:r>
      <w:r>
        <w:rPr>
          <w:rFonts w:hint="eastAsia" w:ascii="仿宋" w:hAnsi="仿宋" w:eastAsia="仿宋"/>
          <w:color w:val="auto"/>
          <w:sz w:val="32"/>
          <w:szCs w:val="32"/>
          <w:lang w:val="en-US" w:eastAsia="zh-CN"/>
        </w:rPr>
        <w:t>一带</w:t>
      </w:r>
      <w:r>
        <w:rPr>
          <w:rFonts w:hint="eastAsia" w:ascii="仿宋" w:hAnsi="仿宋" w:eastAsia="仿宋"/>
          <w:color w:val="auto"/>
          <w:sz w:val="32"/>
          <w:szCs w:val="32"/>
        </w:rPr>
        <w:t>，面积</w:t>
      </w:r>
      <w:r>
        <w:rPr>
          <w:rFonts w:hint="eastAsia" w:ascii="仿宋" w:hAnsi="仿宋" w:eastAsia="仿宋"/>
          <w:color w:val="auto"/>
          <w:sz w:val="32"/>
          <w:szCs w:val="32"/>
          <w:lang w:val="en-US" w:eastAsia="zh-CN"/>
        </w:rPr>
        <w:t>883.82</w:t>
      </w:r>
      <w:r>
        <w:rPr>
          <w:rFonts w:hint="eastAsia" w:ascii="仿宋" w:hAnsi="仿宋" w:eastAsia="仿宋"/>
          <w:color w:val="auto"/>
          <w:sz w:val="32"/>
          <w:szCs w:val="32"/>
        </w:rPr>
        <w:t>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该区地貌类型为低山和中、高丘，地形起伏较大，工程地质岩组主要为坚硬-较软弱片状含云母千枚岩、板岩岩组，多具软弱夹层，易于发生崩塌、滑坡、泥石流地质灾害。</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该区现有地质</w:t>
      </w:r>
      <w:r>
        <w:rPr>
          <w:rFonts w:hint="eastAsia" w:ascii="仿宋" w:hAnsi="仿宋" w:eastAsia="仿宋"/>
          <w:color w:val="auto"/>
          <w:sz w:val="30"/>
          <w:szCs w:val="30"/>
        </w:rPr>
        <w:t>灾害点</w:t>
      </w:r>
      <w:r>
        <w:rPr>
          <w:rFonts w:hint="eastAsia" w:ascii="仿宋" w:hAnsi="仿宋" w:eastAsia="仿宋"/>
          <w:color w:val="auto"/>
          <w:sz w:val="32"/>
          <w:szCs w:val="32"/>
        </w:rPr>
        <w:t>39处（崩塌24处、滑坡13处、泥石流2处），均为小型，威胁94户，380人生命和2108万元财产安全。</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w:t>
      </w:r>
      <w:r>
        <w:rPr>
          <w:rFonts w:hint="eastAsia" w:ascii="仿宋" w:hAnsi="仿宋" w:eastAsia="仿宋"/>
          <w:color w:val="auto"/>
          <w:sz w:val="32"/>
          <w:szCs w:val="32"/>
          <w:lang w:val="en-US" w:eastAsia="zh-CN"/>
        </w:rPr>
        <w:t>2</w:t>
      </w:r>
      <w:r>
        <w:rPr>
          <w:rFonts w:hint="eastAsia" w:ascii="仿宋" w:hAnsi="仿宋" w:eastAsia="仿宋"/>
          <w:color w:val="auto"/>
          <w:sz w:val="32"/>
          <w:szCs w:val="32"/>
        </w:rPr>
        <w:t>）尧渡-葛公-洋湖滑坡、崩塌为主及岩溶塌陷地质灾害中易发区（Ⅱ2）</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该区位于</w:t>
      </w:r>
      <w:r>
        <w:rPr>
          <w:rFonts w:hint="eastAsia" w:ascii="仿宋" w:hAnsi="仿宋" w:eastAsia="仿宋"/>
          <w:color w:val="auto"/>
          <w:sz w:val="32"/>
          <w:szCs w:val="32"/>
          <w:lang w:val="en-US" w:eastAsia="zh-CN"/>
        </w:rPr>
        <w:t>尧渡、葛公、洋湖一带</w:t>
      </w:r>
      <w:r>
        <w:rPr>
          <w:rFonts w:hint="eastAsia" w:ascii="仿宋" w:hAnsi="仿宋" w:eastAsia="仿宋"/>
          <w:color w:val="auto"/>
          <w:sz w:val="32"/>
          <w:szCs w:val="32"/>
        </w:rPr>
        <w:t>，面积</w:t>
      </w:r>
      <w:r>
        <w:rPr>
          <w:rFonts w:hint="eastAsia" w:ascii="仿宋" w:hAnsi="仿宋" w:eastAsia="仿宋"/>
          <w:color w:val="auto"/>
          <w:sz w:val="32"/>
          <w:szCs w:val="32"/>
          <w:lang w:val="en-US" w:eastAsia="zh-CN"/>
        </w:rPr>
        <w:t>271.53</w:t>
      </w:r>
      <w:r>
        <w:rPr>
          <w:rFonts w:hint="eastAsia" w:ascii="仿宋" w:hAnsi="仿宋" w:eastAsia="仿宋"/>
          <w:color w:val="auto"/>
          <w:sz w:val="32"/>
          <w:szCs w:val="32"/>
        </w:rPr>
        <w:t>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lang w:val="en-US" w:eastAsia="zh-CN"/>
        </w:rPr>
        <w:t>该区</w:t>
      </w:r>
      <w:r>
        <w:rPr>
          <w:rFonts w:hint="eastAsia" w:ascii="仿宋" w:hAnsi="仿宋" w:eastAsia="仿宋"/>
          <w:color w:val="auto"/>
          <w:sz w:val="32"/>
          <w:szCs w:val="32"/>
        </w:rPr>
        <w:t>地貌类型为中、低山和高丘，地形处伏大，工程地质岩组主要以坚硬－较坚硬中-厚层状岩溶较发育的碳酸盐岩岩组，由自然或人为因素诱发崩塌、滑坡、岩溶地面塌陷地质灾害。</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该区现有地质灾害点8处（崩塌4处、滑坡1处、岩溶塌陷3处），均为小型，威胁23户，85人生命和335万元财产安全。</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w:t>
      </w:r>
      <w:r>
        <w:rPr>
          <w:rFonts w:hint="eastAsia" w:ascii="仿宋" w:hAnsi="仿宋" w:eastAsia="仿宋"/>
          <w:color w:val="auto"/>
          <w:sz w:val="32"/>
          <w:szCs w:val="32"/>
          <w:lang w:val="en-US" w:eastAsia="zh-CN"/>
        </w:rPr>
        <w:t>3</w:t>
      </w:r>
      <w:r>
        <w:rPr>
          <w:rFonts w:hint="eastAsia" w:ascii="仿宋" w:hAnsi="仿宋" w:eastAsia="仿宋"/>
          <w:color w:val="auto"/>
          <w:sz w:val="32"/>
          <w:szCs w:val="32"/>
        </w:rPr>
        <w:t>）张溪-洋湖滑坡、崩塌为主及采空塌陷地质灾害中易发区（Ⅱ3）</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该区位于</w:t>
      </w:r>
      <w:r>
        <w:rPr>
          <w:rFonts w:hint="eastAsia" w:ascii="仿宋" w:hAnsi="仿宋" w:eastAsia="仿宋"/>
          <w:color w:val="auto"/>
          <w:sz w:val="32"/>
          <w:szCs w:val="32"/>
          <w:lang w:val="en-US" w:eastAsia="zh-CN"/>
        </w:rPr>
        <w:t>张溪、洋湖一带</w:t>
      </w:r>
      <w:r>
        <w:rPr>
          <w:rFonts w:hint="eastAsia" w:ascii="仿宋" w:hAnsi="仿宋" w:eastAsia="仿宋"/>
          <w:color w:val="auto"/>
          <w:sz w:val="32"/>
          <w:szCs w:val="32"/>
        </w:rPr>
        <w:t>，面积</w:t>
      </w:r>
      <w:r>
        <w:rPr>
          <w:rFonts w:hint="eastAsia" w:ascii="仿宋" w:hAnsi="仿宋" w:eastAsia="仿宋"/>
          <w:color w:val="auto"/>
          <w:sz w:val="32"/>
          <w:szCs w:val="32"/>
          <w:lang w:val="en-US" w:eastAsia="zh-CN"/>
        </w:rPr>
        <w:t>187.05</w:t>
      </w:r>
      <w:r>
        <w:rPr>
          <w:rFonts w:hint="eastAsia" w:ascii="仿宋" w:hAnsi="仿宋" w:eastAsia="仿宋"/>
          <w:color w:val="auto"/>
          <w:sz w:val="32"/>
          <w:szCs w:val="32"/>
        </w:rPr>
        <w:t>平方公里。</w:t>
      </w:r>
    </w:p>
    <w:p>
      <w:pPr>
        <w:spacing w:line="360" w:lineRule="auto"/>
        <w:ind w:firstLine="640" w:firstLineChars="200"/>
        <w:rPr>
          <w:rFonts w:hint="eastAsia" w:ascii="仿宋" w:hAnsi="仿宋" w:eastAsia="仿宋"/>
          <w:color w:val="auto"/>
          <w:sz w:val="32"/>
          <w:szCs w:val="32"/>
        </w:rPr>
      </w:pPr>
      <w:r>
        <w:rPr>
          <w:rFonts w:hint="eastAsia" w:ascii="仿宋" w:hAnsi="仿宋" w:eastAsia="仿宋"/>
          <w:color w:val="auto"/>
          <w:sz w:val="32"/>
          <w:szCs w:val="32"/>
          <w:lang w:val="en-US" w:eastAsia="zh-CN"/>
        </w:rPr>
        <w:t>该区</w:t>
      </w:r>
      <w:r>
        <w:rPr>
          <w:rFonts w:hint="eastAsia" w:ascii="仿宋" w:hAnsi="仿宋" w:eastAsia="仿宋"/>
          <w:color w:val="auto"/>
          <w:sz w:val="32"/>
          <w:szCs w:val="32"/>
        </w:rPr>
        <w:t>地貌类型为低山和中、高丘，地形处伏较大，工程地质岩组为较坚硬-软弱薄-厚层状砂岩泥岩页岩为主</w:t>
      </w:r>
      <w:r>
        <w:rPr>
          <w:rFonts w:hint="eastAsia" w:ascii="仿宋" w:hAnsi="仿宋" w:eastAsia="仿宋"/>
          <w:color w:val="auto"/>
          <w:sz w:val="32"/>
          <w:szCs w:val="32"/>
          <w:lang w:val="en-US" w:eastAsia="zh-CN"/>
        </w:rPr>
        <w:t>的</w:t>
      </w:r>
      <w:r>
        <w:rPr>
          <w:rFonts w:hint="eastAsia" w:ascii="仿宋" w:hAnsi="仿宋" w:eastAsia="仿宋"/>
          <w:color w:val="auto"/>
          <w:sz w:val="32"/>
          <w:szCs w:val="32"/>
        </w:rPr>
        <w:t>碎屑岩岩组、较坚硬一软弱层状碳酸盐岩与碎屑岩岩组和坚硬－较坚硬中-厚层状岩溶较发育的碳酸盐岩岩组，易于发生崩塌、滑坡、采空地面塌陷地质灾害。</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该区现有地质灾害点3处（崩塌1处、滑坡1处、采空塌陷1处），均为小型，威胁9户，35人生命和200万元财产安全。</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w:t>
      </w:r>
      <w:r>
        <w:rPr>
          <w:rFonts w:hint="eastAsia" w:ascii="仿宋" w:hAnsi="仿宋" w:eastAsia="仿宋"/>
          <w:color w:val="auto"/>
          <w:sz w:val="32"/>
          <w:szCs w:val="32"/>
          <w:lang w:val="en-US" w:eastAsia="zh-CN"/>
        </w:rPr>
        <w:t>4</w:t>
      </w:r>
      <w:r>
        <w:rPr>
          <w:rFonts w:hint="eastAsia" w:ascii="仿宋" w:hAnsi="仿宋" w:eastAsia="仿宋"/>
          <w:color w:val="auto"/>
          <w:sz w:val="32"/>
          <w:szCs w:val="32"/>
        </w:rPr>
        <w:t>）葛公-花园崩塌地质灾害中易发区（Ⅱ4）</w:t>
      </w:r>
    </w:p>
    <w:p>
      <w:pPr>
        <w:spacing w:line="360" w:lineRule="auto"/>
        <w:ind w:firstLine="640" w:firstLineChars="200"/>
        <w:rPr>
          <w:rFonts w:hint="eastAsia" w:ascii="仿宋" w:hAnsi="仿宋" w:eastAsia="仿宋"/>
          <w:color w:val="auto"/>
          <w:sz w:val="32"/>
          <w:szCs w:val="32"/>
        </w:rPr>
      </w:pPr>
      <w:r>
        <w:rPr>
          <w:rFonts w:hint="eastAsia" w:ascii="仿宋" w:hAnsi="仿宋" w:eastAsia="仿宋"/>
          <w:color w:val="auto"/>
          <w:sz w:val="32"/>
          <w:szCs w:val="32"/>
        </w:rPr>
        <w:t>该区位于</w:t>
      </w:r>
      <w:r>
        <w:rPr>
          <w:rFonts w:hint="eastAsia" w:ascii="仿宋" w:hAnsi="仿宋" w:eastAsia="仿宋"/>
          <w:color w:val="auto"/>
          <w:sz w:val="32"/>
          <w:szCs w:val="32"/>
          <w:lang w:val="en-US" w:eastAsia="zh-CN"/>
        </w:rPr>
        <w:t>葛公、花园局部</w:t>
      </w:r>
      <w:r>
        <w:rPr>
          <w:rFonts w:hint="eastAsia" w:ascii="仿宋" w:hAnsi="仿宋" w:eastAsia="仿宋"/>
          <w:color w:val="auto"/>
          <w:sz w:val="32"/>
          <w:szCs w:val="32"/>
        </w:rPr>
        <w:t>，面积</w:t>
      </w:r>
      <w:r>
        <w:rPr>
          <w:rFonts w:hint="eastAsia" w:ascii="仿宋" w:hAnsi="仿宋" w:eastAsia="仿宋"/>
          <w:color w:val="auto"/>
          <w:sz w:val="32"/>
          <w:szCs w:val="32"/>
          <w:lang w:val="en-US" w:eastAsia="zh-CN"/>
        </w:rPr>
        <w:t>42.02</w:t>
      </w:r>
      <w:r>
        <w:rPr>
          <w:rFonts w:hint="eastAsia" w:ascii="仿宋" w:hAnsi="仿宋" w:eastAsia="仿宋"/>
          <w:color w:val="auto"/>
          <w:sz w:val="32"/>
          <w:szCs w:val="32"/>
        </w:rPr>
        <w:t>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该区地貌类型为低山和中、高丘，地形处伏较大，工程地质岩组为坚硬－较坚硬中-厚层状岩溶较发育的碳酸盐岩岩组，易于发生崩塌地质灾害。</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该区现有地质灾害点4处（崩塌4处），均为小型，威胁28户，114人生命和190万元财产安全。</w:t>
      </w:r>
    </w:p>
    <w:p>
      <w:pPr>
        <w:adjustRightInd w:val="0"/>
        <w:snapToGrid w:val="0"/>
        <w:spacing w:line="360" w:lineRule="auto"/>
        <w:ind w:firstLine="643" w:firstLineChars="200"/>
        <w:rPr>
          <w:rFonts w:hint="eastAsia" w:ascii="仿宋" w:hAnsi="仿宋" w:eastAsia="仿宋"/>
          <w:b/>
          <w:color w:val="auto"/>
          <w:sz w:val="32"/>
          <w:szCs w:val="32"/>
          <w:lang w:val="en-US" w:eastAsia="zh-CN"/>
        </w:rPr>
      </w:pPr>
      <w:r>
        <w:rPr>
          <w:rFonts w:hint="eastAsia" w:ascii="仿宋" w:hAnsi="仿宋" w:eastAsia="仿宋"/>
          <w:b/>
          <w:color w:val="auto"/>
          <w:sz w:val="32"/>
          <w:szCs w:val="32"/>
          <w:lang w:val="en-US" w:eastAsia="zh-CN"/>
        </w:rPr>
        <w:t>3.地质灾害低易发区</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东流镇岩溶地面塌陷</w:t>
      </w:r>
      <w:r>
        <w:rPr>
          <w:rFonts w:hint="eastAsia" w:ascii="仿宋" w:hAnsi="仿宋" w:eastAsia="仿宋"/>
          <w:color w:val="auto"/>
          <w:sz w:val="30"/>
          <w:szCs w:val="30"/>
        </w:rPr>
        <w:t>地质</w:t>
      </w:r>
      <w:r>
        <w:rPr>
          <w:rFonts w:hint="eastAsia" w:ascii="仿宋" w:hAnsi="仿宋" w:eastAsia="仿宋"/>
          <w:color w:val="auto"/>
          <w:sz w:val="32"/>
          <w:szCs w:val="32"/>
        </w:rPr>
        <w:t>灾害低易发区（Ⅲ）</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rPr>
        <w:t>主要分布于东流镇</w:t>
      </w:r>
      <w:r>
        <w:rPr>
          <w:rFonts w:hint="eastAsia" w:ascii="仿宋" w:hAnsi="仿宋" w:eastAsia="仿宋"/>
          <w:color w:val="auto"/>
          <w:sz w:val="30"/>
          <w:szCs w:val="30"/>
        </w:rPr>
        <w:t>周边</w:t>
      </w:r>
      <w:r>
        <w:rPr>
          <w:rFonts w:hint="eastAsia" w:ascii="仿宋" w:hAnsi="仿宋" w:eastAsia="仿宋"/>
          <w:color w:val="auto"/>
          <w:sz w:val="32"/>
          <w:szCs w:val="32"/>
        </w:rPr>
        <w:t>，区内现状无地质灾害发生，面积8.7</w:t>
      </w:r>
      <w:r>
        <w:rPr>
          <w:rFonts w:hint="eastAsia" w:ascii="仿宋" w:hAnsi="仿宋" w:eastAsia="仿宋"/>
          <w:color w:val="auto"/>
          <w:sz w:val="32"/>
          <w:szCs w:val="32"/>
          <w:lang w:val="en-US" w:eastAsia="zh-CN"/>
        </w:rPr>
        <w:t>5</w:t>
      </w:r>
      <w:r>
        <w:rPr>
          <w:rFonts w:hint="eastAsia" w:ascii="仿宋" w:hAnsi="仿宋" w:eastAsia="仿宋"/>
          <w:color w:val="auto"/>
          <w:sz w:val="32"/>
          <w:szCs w:val="32"/>
          <w:lang w:eastAsia="zh-CN"/>
        </w:rPr>
        <w:t>平方公里</w:t>
      </w:r>
      <w:r>
        <w:rPr>
          <w:rFonts w:hint="eastAsia" w:ascii="仿宋" w:hAnsi="仿宋" w:eastAsia="仿宋"/>
          <w:color w:val="auto"/>
          <w:sz w:val="32"/>
          <w:szCs w:val="32"/>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40" w:firstLineChars="200"/>
        <w:textAlignment w:val="auto"/>
        <w:rPr>
          <w:rFonts w:hint="eastAsia" w:ascii="仿宋" w:hAnsi="仿宋" w:eastAsia="仿宋"/>
          <w:color w:val="auto"/>
          <w:sz w:val="32"/>
          <w:szCs w:val="32"/>
        </w:rPr>
      </w:pPr>
      <w:r>
        <w:rPr>
          <w:rFonts w:hint="eastAsia" w:ascii="仿宋" w:hAnsi="仿宋" w:eastAsia="仿宋"/>
          <w:color w:val="auto"/>
          <w:sz w:val="32"/>
          <w:szCs w:val="32"/>
          <w:lang w:val="en-US" w:eastAsia="zh-CN"/>
        </w:rPr>
        <w:t>该区</w:t>
      </w:r>
      <w:r>
        <w:rPr>
          <w:rFonts w:hint="eastAsia" w:ascii="仿宋" w:hAnsi="仿宋" w:eastAsia="仿宋"/>
          <w:color w:val="auto"/>
          <w:sz w:val="32"/>
          <w:szCs w:val="32"/>
        </w:rPr>
        <w:t>地貌类型为波状平原。工程地质岩组为松散岩类和坚硬－较坚硬中-厚层状岩溶较发育的碳酸盐岩岩组等，在隐伏岩溶浅埋区，可能发生岩溶地面塌陷。</w:t>
      </w:r>
    </w:p>
    <w:p>
      <w:pPr>
        <w:adjustRightInd w:val="0"/>
        <w:snapToGrid w:val="0"/>
        <w:spacing w:line="360" w:lineRule="auto"/>
        <w:ind w:firstLine="602" w:firstLineChars="200"/>
        <w:rPr>
          <w:rFonts w:hint="eastAsia" w:ascii="仿宋" w:hAnsi="仿宋" w:eastAsia="仿宋"/>
          <w:b/>
          <w:color w:val="auto"/>
          <w:sz w:val="30"/>
          <w:szCs w:val="30"/>
          <w:lang w:val="en-US" w:eastAsia="zh-CN"/>
        </w:rPr>
      </w:pPr>
      <w:r>
        <w:rPr>
          <w:rFonts w:hint="eastAsia" w:ascii="仿宋" w:hAnsi="仿宋" w:eastAsia="仿宋"/>
          <w:b/>
          <w:color w:val="auto"/>
          <w:sz w:val="30"/>
          <w:szCs w:val="30"/>
          <w:lang w:val="en-US" w:eastAsia="zh-CN"/>
        </w:rPr>
        <w:t>4.地质灾害非易发区</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香隅-东流-胜利-大渡口地质灾害</w:t>
      </w:r>
      <w:r>
        <w:rPr>
          <w:rFonts w:hint="eastAsia" w:ascii="仿宋" w:hAnsi="仿宋" w:eastAsia="仿宋"/>
          <w:color w:val="auto"/>
          <w:sz w:val="30"/>
          <w:szCs w:val="30"/>
          <w:lang w:val="en-US" w:eastAsia="zh-CN"/>
        </w:rPr>
        <w:t>非</w:t>
      </w:r>
      <w:r>
        <w:rPr>
          <w:rFonts w:hint="eastAsia" w:ascii="仿宋" w:hAnsi="仿宋" w:eastAsia="仿宋"/>
          <w:color w:val="auto"/>
          <w:sz w:val="30"/>
          <w:szCs w:val="30"/>
        </w:rPr>
        <w:t>易发区（Ⅳ）</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FF0000"/>
          <w:sz w:val="30"/>
          <w:szCs w:val="30"/>
        </w:rPr>
      </w:pPr>
      <w:r>
        <w:rPr>
          <w:rFonts w:hint="eastAsia" w:ascii="仿宋" w:hAnsi="仿宋" w:eastAsia="仿宋"/>
          <w:color w:val="auto"/>
          <w:sz w:val="30"/>
          <w:szCs w:val="30"/>
        </w:rPr>
        <w:t>主要分布于香隅镇北西部、东流镇周边张溪镇周边及胜利、大渡口镇。区内现状无地质灾害发生，总面积约</w:t>
      </w:r>
      <w:r>
        <w:rPr>
          <w:rFonts w:hint="eastAsia" w:ascii="仿宋" w:hAnsi="仿宋" w:eastAsia="仿宋"/>
          <w:color w:val="auto"/>
          <w:sz w:val="30"/>
          <w:szCs w:val="30"/>
          <w:lang w:val="en-US" w:eastAsia="zh-CN"/>
        </w:rPr>
        <w:t>689.23</w:t>
      </w:r>
      <w:r>
        <w:rPr>
          <w:rFonts w:hint="eastAsia" w:ascii="仿宋" w:hAnsi="仿宋" w:eastAsia="仿宋"/>
          <w:color w:val="auto"/>
          <w:sz w:val="30"/>
          <w:szCs w:val="30"/>
          <w:lang w:eastAsia="zh-CN"/>
        </w:rPr>
        <w:t>平方公里</w:t>
      </w:r>
      <w:r>
        <w:rPr>
          <w:rFonts w:hint="eastAsia" w:ascii="仿宋" w:hAnsi="仿宋" w:eastAsia="仿宋"/>
          <w:color w:val="auto"/>
          <w:sz w:val="30"/>
          <w:szCs w:val="30"/>
        </w:rPr>
        <w:t>。</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lang w:val="en-US" w:eastAsia="zh-CN"/>
        </w:rPr>
        <w:t>该区</w:t>
      </w:r>
      <w:r>
        <w:rPr>
          <w:rFonts w:hint="eastAsia" w:ascii="仿宋" w:hAnsi="仿宋" w:eastAsia="仿宋"/>
          <w:color w:val="auto"/>
          <w:sz w:val="30"/>
          <w:szCs w:val="30"/>
        </w:rPr>
        <w:t>地貌类型主要为平原，工程地质岩组以松散岩类岩组为主。区内地势较平缓，在自然条件下一般不具备崩塌、滑坡、泥石流发生的地质条件，个别崩塌、滑坡及其隐患的存在系人为因素所诱发。</w:t>
      </w:r>
    </w:p>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bookmarkStart w:id="76" w:name="_Toc13544"/>
      <w:r>
        <w:rPr>
          <w:rFonts w:hint="eastAsia" w:ascii="Arial" w:hAnsi="Arial"/>
          <w:b/>
          <w:color w:val="auto"/>
          <w:kern w:val="44"/>
          <w:sz w:val="36"/>
          <w:szCs w:val="30"/>
        </w:rPr>
        <w:t>地质灾害防治分区</w:t>
      </w:r>
      <w:bookmarkEnd w:id="69"/>
      <w:bookmarkEnd w:id="70"/>
      <w:bookmarkEnd w:id="71"/>
      <w:bookmarkEnd w:id="73"/>
      <w:bookmarkEnd w:id="74"/>
      <w:bookmarkEnd w:id="75"/>
      <w:bookmarkEnd w:id="76"/>
    </w:p>
    <w:p>
      <w:pPr>
        <w:pStyle w:val="6"/>
        <w:ind w:firstLine="643" w:firstLineChars="200"/>
        <w:rPr>
          <w:color w:val="auto"/>
        </w:rPr>
      </w:pPr>
      <w:bookmarkStart w:id="77" w:name="_Toc498967874"/>
      <w:bookmarkStart w:id="78" w:name="_Toc28338"/>
      <w:bookmarkStart w:id="79" w:name="_Toc493582965"/>
      <w:bookmarkStart w:id="80" w:name="_Toc263923350"/>
      <w:bookmarkStart w:id="81" w:name="_Toc304269060"/>
      <w:bookmarkStart w:id="82" w:name="_Toc263922941"/>
      <w:r>
        <w:rPr>
          <w:rFonts w:hint="eastAsia"/>
          <w:color w:val="auto"/>
        </w:rPr>
        <w:t>（一）分区原则</w:t>
      </w:r>
      <w:bookmarkEnd w:id="77"/>
      <w:bookmarkEnd w:id="78"/>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以地质灾害的易发分区，叠加经济、社会、工程、自然保护区等划分地质灾害防治区；根据地质灾害易发程度、城镇人口的密集程度、经济财富的集中程度、基础工程的建设规模、自然保护区的规模等级划分地质灾害防治区级别，依次划分为重点防治区、次重点防治区和一般防治区。</w:t>
      </w:r>
    </w:p>
    <w:bookmarkEnd w:id="79"/>
    <w:p>
      <w:pPr>
        <w:pStyle w:val="6"/>
        <w:ind w:firstLine="643" w:firstLineChars="200"/>
        <w:rPr>
          <w:color w:val="auto"/>
        </w:rPr>
      </w:pPr>
      <w:bookmarkStart w:id="83" w:name="_Toc498967875"/>
      <w:bookmarkStart w:id="84" w:name="_Toc17718"/>
      <w:r>
        <w:rPr>
          <w:rFonts w:hint="eastAsia"/>
          <w:color w:val="auto"/>
        </w:rPr>
        <w:t>（二）分区方法</w:t>
      </w:r>
      <w:bookmarkEnd w:id="83"/>
      <w:bookmarkEnd w:id="84"/>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1.重点防治区：地质灾害发育、危害程度大、重要基础设施、城镇、厂矿企业、世界级地质公园、国家级自然保护区等工程集中分布的地区。</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2.次重点防治区：地质灾害较发育、危害程度较大、较重要基础设施、城镇、厂矿企业、省级自然保护区等工程分布的地区。</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3.一般防治区：地质灾害发育一般、危害程度小、一般基础设施、城镇、厂矿企业分布的地区。</w:t>
      </w:r>
    </w:p>
    <w:bookmarkEnd w:id="80"/>
    <w:bookmarkEnd w:id="81"/>
    <w:bookmarkEnd w:id="82"/>
    <w:p>
      <w:pPr>
        <w:pStyle w:val="6"/>
        <w:ind w:firstLine="643" w:firstLineChars="200"/>
        <w:rPr>
          <w:color w:val="auto"/>
          <w:highlight w:val="none"/>
        </w:rPr>
      </w:pPr>
      <w:bookmarkStart w:id="85" w:name="_Toc263923351"/>
      <w:bookmarkStart w:id="86" w:name="_Toc263922942"/>
      <w:bookmarkStart w:id="87" w:name="_Toc304269061"/>
      <w:bookmarkStart w:id="88" w:name="_Toc13875"/>
      <w:r>
        <w:rPr>
          <w:rFonts w:hint="eastAsia"/>
          <w:color w:val="auto"/>
          <w:highlight w:val="none"/>
        </w:rPr>
        <w:t>（三）</w:t>
      </w:r>
      <w:bookmarkEnd w:id="85"/>
      <w:bookmarkEnd w:id="86"/>
      <w:bookmarkEnd w:id="87"/>
      <w:r>
        <w:rPr>
          <w:rFonts w:hint="eastAsia"/>
          <w:color w:val="auto"/>
          <w:highlight w:val="none"/>
        </w:rPr>
        <w:t>分区</w:t>
      </w:r>
      <w:r>
        <w:rPr>
          <w:rFonts w:hint="eastAsia"/>
          <w:color w:val="auto"/>
        </w:rPr>
        <w:t>结果</w:t>
      </w:r>
      <w:bookmarkEnd w:id="88"/>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bookmarkStart w:id="89" w:name="_Toc304269045"/>
      <w:bookmarkStart w:id="90" w:name="_Toc17680"/>
      <w:r>
        <w:rPr>
          <w:rFonts w:hint="eastAsia" w:ascii="仿宋" w:hAnsi="仿宋" w:eastAsia="仿宋"/>
          <w:color w:val="auto"/>
          <w:sz w:val="30"/>
          <w:szCs w:val="30"/>
        </w:rPr>
        <w:t>依据上述原则和标准，全县共划分为2个重点防治区、2个次重点防治区、1个一般防治区（见附图3），分述如下。</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1、地质灾害重点防治区（A）</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地质灾害重点防治区的分布：地质灾害重点防治区是全县地质灾害防治工作的重点区域，全县共划分为2个重点防治亚区，总面积为118</w:t>
      </w:r>
      <w:r>
        <w:rPr>
          <w:rFonts w:hint="eastAsia" w:ascii="仿宋" w:hAnsi="仿宋" w:eastAsia="仿宋"/>
          <w:color w:val="auto"/>
          <w:sz w:val="30"/>
          <w:szCs w:val="30"/>
          <w:lang w:val="en-US" w:eastAsia="zh-CN"/>
        </w:rPr>
        <w:t>5.90</w:t>
      </w:r>
      <w:r>
        <w:rPr>
          <w:rFonts w:hint="eastAsia" w:ascii="仿宋" w:hAnsi="仿宋" w:eastAsia="仿宋"/>
          <w:color w:val="auto"/>
          <w:sz w:val="30"/>
          <w:szCs w:val="30"/>
        </w:rPr>
        <w:t>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bookmarkStart w:id="91" w:name="_Hlk51318449"/>
      <w:r>
        <w:rPr>
          <w:rFonts w:hint="eastAsia" w:ascii="仿宋" w:hAnsi="仿宋" w:eastAsia="仿宋"/>
          <w:color w:val="auto"/>
          <w:sz w:val="30"/>
          <w:szCs w:val="30"/>
        </w:rPr>
        <w:t>（1）葛公-官港-木塔崩塌、滑坡、</w:t>
      </w:r>
      <w:r>
        <w:rPr>
          <w:rFonts w:hint="eastAsia" w:ascii="仿宋" w:hAnsi="仿宋" w:eastAsia="仿宋"/>
          <w:color w:val="auto"/>
          <w:sz w:val="30"/>
          <w:szCs w:val="30"/>
          <w:lang w:val="en-US" w:eastAsia="zh-CN"/>
        </w:rPr>
        <w:t>泥石流</w:t>
      </w:r>
      <w:r>
        <w:rPr>
          <w:rFonts w:hint="eastAsia" w:ascii="仿宋" w:hAnsi="仿宋" w:eastAsia="仿宋"/>
          <w:color w:val="auto"/>
          <w:sz w:val="30"/>
          <w:szCs w:val="30"/>
        </w:rPr>
        <w:t>地质灾害重点防治区（A1）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分布于东至县尧渡镇东部、南部、葛公镇东部、南部，官港西部及木塔周边，面积100</w:t>
      </w:r>
      <w:r>
        <w:rPr>
          <w:rFonts w:hint="eastAsia" w:ascii="仿宋" w:hAnsi="仿宋" w:eastAsia="仿宋"/>
          <w:color w:val="auto"/>
          <w:sz w:val="30"/>
          <w:szCs w:val="30"/>
          <w:lang w:val="en-US" w:eastAsia="zh-CN"/>
        </w:rPr>
        <w:t>7.68</w:t>
      </w:r>
      <w:r>
        <w:rPr>
          <w:rFonts w:hint="eastAsia" w:ascii="仿宋" w:hAnsi="仿宋" w:eastAsia="仿宋"/>
          <w:color w:val="auto"/>
          <w:sz w:val="30"/>
          <w:szCs w:val="30"/>
        </w:rPr>
        <w:t>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该区是崩塌、滑坡、泥石流地质灾害高易发区、中易发区，地貌以中低山为主，部分为高丘。区内降水充沛，山高坡陡，地质构造发育，岩石风化破碎。区内人类工程活动强烈。</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本区防治重点是开展年度地质灾害“三查”和监测预警工作，在规划期内完成搬迁避让11处，工程治理</w:t>
      </w:r>
      <w:r>
        <w:rPr>
          <w:rFonts w:hint="eastAsia" w:ascii="仿宋" w:hAnsi="仿宋" w:eastAsia="仿宋"/>
          <w:color w:val="auto"/>
          <w:sz w:val="30"/>
          <w:szCs w:val="30"/>
          <w:lang w:val="en-US" w:eastAsia="zh-CN"/>
        </w:rPr>
        <w:t>6</w:t>
      </w:r>
      <w:r>
        <w:rPr>
          <w:rFonts w:hint="eastAsia" w:ascii="仿宋" w:hAnsi="仿宋" w:eastAsia="仿宋"/>
          <w:color w:val="auto"/>
          <w:sz w:val="30"/>
          <w:szCs w:val="30"/>
        </w:rPr>
        <w:t>处</w:t>
      </w:r>
      <w:r>
        <w:rPr>
          <w:rFonts w:hint="eastAsia" w:ascii="仿宋" w:hAnsi="仿宋" w:eastAsia="仿宋"/>
          <w:color w:val="auto"/>
          <w:sz w:val="30"/>
          <w:szCs w:val="30"/>
          <w:lang w:eastAsia="zh-CN"/>
        </w:rPr>
        <w:t>，</w:t>
      </w:r>
      <w:r>
        <w:rPr>
          <w:rFonts w:hint="eastAsia" w:ascii="仿宋" w:hAnsi="仿宋" w:eastAsia="仿宋"/>
          <w:color w:val="auto"/>
          <w:sz w:val="30"/>
          <w:szCs w:val="30"/>
          <w:lang w:val="en-US" w:eastAsia="zh-CN"/>
        </w:rPr>
        <w:t>排危除险1处</w:t>
      </w:r>
      <w:r>
        <w:rPr>
          <w:rFonts w:hint="eastAsia" w:ascii="仿宋" w:hAnsi="仿宋" w:eastAsia="仿宋"/>
          <w:color w:val="auto"/>
          <w:sz w:val="30"/>
          <w:szCs w:val="30"/>
        </w:rPr>
        <w:t>。重点防范城镇、学校、交通干线、重大水利水电工程、重要自然保护区、风景名胜所在地的崩塌、滑坡、泥石流灾害。</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（2）张溪-洋湖崩塌、滑坡、泥石流、采空塌陷地质灾害重点防治区（A2）</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分布于东至县张溪镇东部、洋湖镇北部，总面积178.23平方公里。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该区为崩塌、滑坡、泥石流、采空塌陷地质灾害中易发区，地貌以中低山、高丘为主，地形切割强烈，降水充沛。</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本区防治重点是开展年度地质灾害调查，完善地质灾害监测系统。重点防范城镇、学校、交通干线、重大水利水电工程、重要自然保护区、风景名胜、地质遗迹的崩塌、滑坡、泥石流灾害。</w:t>
      </w:r>
    </w:p>
    <w:bookmarkEnd w:id="91"/>
    <w:p>
      <w:pPr>
        <w:spacing w:line="360" w:lineRule="auto"/>
        <w:ind w:firstLine="602" w:firstLineChars="200"/>
        <w:rPr>
          <w:rFonts w:ascii="仿宋" w:hAnsi="仿宋" w:eastAsia="仿宋"/>
          <w:b/>
          <w:color w:val="auto"/>
          <w:sz w:val="30"/>
          <w:szCs w:val="30"/>
        </w:rPr>
      </w:pPr>
      <w:bookmarkStart w:id="92" w:name="_Toc498967878"/>
      <w:r>
        <w:rPr>
          <w:rFonts w:hint="eastAsia" w:ascii="仿宋" w:hAnsi="仿宋" w:eastAsia="仿宋"/>
          <w:b/>
          <w:color w:val="auto"/>
          <w:sz w:val="30"/>
          <w:szCs w:val="30"/>
        </w:rPr>
        <w:t>2.地质灾害次重点防治区（B）</w:t>
      </w:r>
      <w:bookmarkEnd w:id="92"/>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地质灾害次重点防治区是全县地质灾害</w:t>
      </w:r>
      <w:r>
        <w:rPr>
          <w:rFonts w:hint="eastAsia" w:ascii="仿宋" w:hAnsi="仿宋" w:eastAsia="仿宋"/>
          <w:color w:val="auto"/>
          <w:sz w:val="30"/>
          <w:szCs w:val="30"/>
          <w:lang w:val="en-US" w:eastAsia="zh-CN"/>
        </w:rPr>
        <w:t>主要</w:t>
      </w:r>
      <w:r>
        <w:rPr>
          <w:rFonts w:hint="eastAsia" w:ascii="仿宋" w:hAnsi="仿宋" w:eastAsia="仿宋"/>
          <w:color w:val="auto"/>
          <w:sz w:val="30"/>
          <w:szCs w:val="30"/>
        </w:rPr>
        <w:t>防治工作的区域之一，依据以上方法，共划分为2个次重点防治亚区，总面积为1139.92平方公里。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bookmarkStart w:id="93" w:name="_Toc498967879"/>
      <w:r>
        <w:rPr>
          <w:rFonts w:hint="eastAsia" w:ascii="仿宋" w:hAnsi="仿宋" w:eastAsia="仿宋"/>
          <w:color w:val="auto"/>
          <w:sz w:val="30"/>
          <w:szCs w:val="30"/>
        </w:rPr>
        <w:t>（1）官港-泥溪-昭潭-龙泉崩塌、滑坡</w:t>
      </w:r>
      <w:r>
        <w:rPr>
          <w:rFonts w:hint="eastAsia" w:ascii="仿宋" w:hAnsi="仿宋" w:eastAsia="仿宋"/>
          <w:color w:val="auto"/>
          <w:sz w:val="30"/>
          <w:szCs w:val="30"/>
          <w:lang w:val="en-US" w:eastAsia="zh-CN"/>
        </w:rPr>
        <w:t>地质</w:t>
      </w:r>
      <w:r>
        <w:rPr>
          <w:rFonts w:hint="eastAsia" w:ascii="仿宋" w:hAnsi="仿宋" w:eastAsia="仿宋"/>
          <w:color w:val="auto"/>
          <w:sz w:val="30"/>
          <w:szCs w:val="30"/>
        </w:rPr>
        <w:t>灾害次重点防治区（B1）</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分布于东至县西南、南部，主要分布于香隅南部、官港西部、泥溪镇、青山乡、昭潭镇、龙泉镇，面积827.00平方公里。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该区为崩塌、滑坡地质灾害中易发区，该区地貌类型主要为低山和中高丘，地形起伏较大，岩土体类型主要以千枚岩、板岩为主。地形切割强烈，降水充沛。</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本区防治重点是规范人类工程经济活动，杜绝不合理的人类工程经济活动，尽量减少山区切坡建房。规划期内完成</w:t>
      </w:r>
      <w:r>
        <w:rPr>
          <w:rFonts w:hint="eastAsia" w:ascii="仿宋" w:hAnsi="仿宋" w:eastAsia="仿宋"/>
          <w:color w:val="auto"/>
          <w:sz w:val="30"/>
          <w:szCs w:val="30"/>
          <w:lang w:val="en-US" w:eastAsia="zh-CN"/>
        </w:rPr>
        <w:t>搬迁</w:t>
      </w:r>
      <w:r>
        <w:rPr>
          <w:rFonts w:hint="eastAsia" w:ascii="仿宋" w:hAnsi="仿宋" w:eastAsia="仿宋"/>
          <w:color w:val="auto"/>
          <w:sz w:val="30"/>
          <w:szCs w:val="30"/>
        </w:rPr>
        <w:t>避让</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处，工程治理</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处，排危除险1处。重点防范城镇、学校、交通干线、重要城市工程、重要水利电力工程区的崩塌、滑坡、泥石流灾害。</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（2）尧渡-洋湖崩塌、滑坡、岩溶塌陷地质灾害次重点防治区（B2）</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分布于东至县中东部，主要分布于尧渡镇东部、洋湖镇南部及葛公镇西北部，面积312.92平方公里。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该区为崩塌、滑坡、岩溶塌陷地质灾害中易发区，该区地貌类型主要为中山和低山，局部为高丘，地形起伏大，</w:t>
      </w:r>
      <w:r>
        <w:rPr>
          <w:rFonts w:hint="eastAsia" w:ascii="仿宋" w:hAnsi="仿宋" w:eastAsia="仿宋"/>
          <w:color w:val="auto"/>
          <w:sz w:val="30"/>
          <w:szCs w:val="30"/>
          <w:lang w:val="en-US" w:eastAsia="zh-CN"/>
        </w:rPr>
        <w:t>岩土</w:t>
      </w:r>
      <w:r>
        <w:rPr>
          <w:rFonts w:hint="eastAsia" w:ascii="仿宋" w:hAnsi="仿宋" w:eastAsia="仿宋"/>
          <w:color w:val="auto"/>
          <w:sz w:val="30"/>
          <w:szCs w:val="30"/>
        </w:rPr>
        <w:t>体类型主要以碳酸盐岩为主。区内地面矿山开采活动强烈。</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本区防治重点是规划期内完成工程治理1处，排危除险1处。重点防范城镇、学校、交通干线、重要风景名胜、重要水利电力工程、大中型工矿企业所在地的崩塌、滑坡、泥石流灾害，碳酸盐岩</w:t>
      </w:r>
      <w:r>
        <w:rPr>
          <w:rFonts w:hint="eastAsia" w:ascii="仿宋" w:hAnsi="仿宋" w:eastAsia="仿宋"/>
          <w:color w:val="auto"/>
          <w:sz w:val="30"/>
          <w:szCs w:val="30"/>
          <w:lang w:val="en-US" w:eastAsia="zh-CN"/>
        </w:rPr>
        <w:t>岩溶</w:t>
      </w:r>
      <w:r>
        <w:rPr>
          <w:rFonts w:hint="eastAsia" w:ascii="仿宋" w:hAnsi="仿宋" w:eastAsia="仿宋"/>
          <w:color w:val="auto"/>
          <w:sz w:val="30"/>
          <w:szCs w:val="30"/>
        </w:rPr>
        <w:t>发育区，由自然或人为因素诱发可能形成岩溶塌陷。</w:t>
      </w:r>
    </w:p>
    <w:p>
      <w:pPr>
        <w:spacing w:line="360" w:lineRule="auto"/>
        <w:ind w:firstLine="602" w:firstLineChars="200"/>
        <w:rPr>
          <w:rFonts w:ascii="仿宋" w:hAnsi="仿宋" w:eastAsia="仿宋"/>
          <w:b/>
          <w:color w:val="auto"/>
          <w:sz w:val="30"/>
          <w:szCs w:val="30"/>
        </w:rPr>
      </w:pPr>
      <w:r>
        <w:rPr>
          <w:rFonts w:hint="eastAsia" w:ascii="仿宋" w:hAnsi="仿宋" w:eastAsia="仿宋"/>
          <w:b/>
          <w:color w:val="auto"/>
          <w:sz w:val="30"/>
          <w:szCs w:val="30"/>
        </w:rPr>
        <w:t>3.地质灾害一般防治区（C）</w:t>
      </w:r>
      <w:bookmarkEnd w:id="93"/>
    </w:p>
    <w:bookmarkEnd w:id="89"/>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香隅—东流—胜利—大渡口崩塌、滑坡</w:t>
      </w:r>
      <w:r>
        <w:rPr>
          <w:rFonts w:hint="eastAsia" w:ascii="仿宋" w:hAnsi="仿宋" w:eastAsia="仿宋"/>
          <w:color w:val="auto"/>
          <w:sz w:val="30"/>
          <w:szCs w:val="30"/>
          <w:lang w:val="en-US" w:eastAsia="zh-CN"/>
        </w:rPr>
        <w:t>一般</w:t>
      </w:r>
      <w:r>
        <w:rPr>
          <w:rFonts w:hint="eastAsia" w:ascii="仿宋" w:hAnsi="仿宋" w:eastAsia="仿宋"/>
          <w:color w:val="auto"/>
          <w:sz w:val="30"/>
          <w:szCs w:val="30"/>
        </w:rPr>
        <w:t>防治区（C）</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分布于香隅镇、东流镇、胜利镇、大渡口镇，面积</w:t>
      </w:r>
      <w:r>
        <w:rPr>
          <w:rFonts w:hint="eastAsia" w:ascii="仿宋" w:hAnsi="仿宋" w:eastAsia="仿宋"/>
          <w:color w:val="auto"/>
          <w:sz w:val="30"/>
          <w:szCs w:val="30"/>
          <w:lang w:val="en-US" w:eastAsia="zh-CN"/>
        </w:rPr>
        <w:t>762.95</w:t>
      </w:r>
      <w:r>
        <w:rPr>
          <w:rFonts w:hint="eastAsia" w:ascii="仿宋" w:hAnsi="仿宋" w:eastAsia="仿宋"/>
          <w:color w:val="auto"/>
          <w:sz w:val="30"/>
          <w:szCs w:val="30"/>
        </w:rPr>
        <w:t>平方公里。</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该区为地质灾害低易发区、非易发区。地貌类型为波状平原，地形较平坦，地势开阔。岩土体类型以花岗岩、碳酸盐岩为主。主要交通线路有高铁、高速及重点水利工程等。</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olor w:val="auto"/>
          <w:sz w:val="30"/>
          <w:szCs w:val="30"/>
        </w:rPr>
      </w:pPr>
      <w:r>
        <w:rPr>
          <w:rFonts w:hint="eastAsia" w:ascii="仿宋" w:hAnsi="仿宋" w:eastAsia="仿宋"/>
          <w:color w:val="auto"/>
          <w:sz w:val="30"/>
          <w:szCs w:val="30"/>
        </w:rPr>
        <w:t>本区防治重点是规划期内完成工程治理1处。重点防范交通干线、大中型工矿企业、重要自然保护区、重要的城市工程、重大水利水电工程区的崩塌、滑坡灾害。</w:t>
      </w:r>
    </w:p>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r>
        <w:rPr>
          <w:rFonts w:hint="eastAsia" w:ascii="Arial" w:hAnsi="Arial"/>
          <w:b/>
          <w:color w:val="auto"/>
          <w:kern w:val="44"/>
          <w:sz w:val="36"/>
          <w:szCs w:val="30"/>
        </w:rPr>
        <w:t>项目确定的依据和可行性</w:t>
      </w:r>
      <w:bookmarkEnd w:id="90"/>
    </w:p>
    <w:p>
      <w:pPr>
        <w:pStyle w:val="6"/>
        <w:ind w:firstLine="643" w:firstLineChars="200"/>
        <w:rPr>
          <w:color w:val="auto"/>
        </w:rPr>
      </w:pPr>
      <w:bookmarkStart w:id="94" w:name="_Toc18049"/>
      <w:bookmarkStart w:id="95" w:name="_Toc29867"/>
      <w:bookmarkStart w:id="96" w:name="_Toc304269064"/>
      <w:bookmarkStart w:id="97" w:name="_Toc263922945"/>
      <w:bookmarkStart w:id="98" w:name="_Toc263923354"/>
      <w:bookmarkStart w:id="99" w:name="_Toc263922951"/>
      <w:bookmarkStart w:id="100" w:name="_Toc263923360"/>
      <w:bookmarkStart w:id="101" w:name="_Toc304269070"/>
      <w:r>
        <w:rPr>
          <w:rFonts w:hint="eastAsia"/>
          <w:color w:val="auto"/>
        </w:rPr>
        <w:t>（一）项目确定依据</w:t>
      </w:r>
      <w:bookmarkEnd w:id="94"/>
      <w:bookmarkEnd w:id="9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以《地质灾害防治条例》和《安徽省地质灾害防治管理办法》及</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地质灾害防治工作实际现状为依据确定防治项目。</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具体考虑以下几方面：</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1.基础调查评价项目确定以有利于地质灾害防治工作的开展，为治理工程的实施提供依据，为地质灾害的监测、预警、预报奠定基础。</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2.监测、预警工程项目的确定以有利于在现有基础上完善和提高监测网络及预警预报水平为原则。</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3.地质灾害搬迁避让项目确定依据：（1）现状不稳定；（2）市、县确定的重要隐患点；（3）危害等级较大级以上或危害等级一般，但极不稳定；（4）工程治理方案不可行或投入较大。</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4</w:t>
      </w:r>
      <w:r>
        <w:rPr>
          <w:rFonts w:ascii="仿宋" w:hAnsi="仿宋" w:eastAsia="仿宋"/>
          <w:color w:val="auto"/>
          <w:sz w:val="30"/>
          <w:szCs w:val="30"/>
        </w:rPr>
        <w:t>.</w:t>
      </w:r>
      <w:r>
        <w:rPr>
          <w:rFonts w:hint="eastAsia" w:ascii="仿宋" w:hAnsi="仿宋" w:eastAsia="仿宋"/>
          <w:color w:val="auto"/>
          <w:sz w:val="30"/>
          <w:szCs w:val="30"/>
        </w:rPr>
        <w:t>地质灾害工程治理项目确定依据：①现状不稳定；②市、县确定的重要隐患点；③危害公共安全，且危害程度重大级以上的；④搬迁方案不可行且需进行综合治理的。</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5.坚持“以人</w:t>
      </w:r>
      <w:r>
        <w:rPr>
          <w:rFonts w:hint="eastAsia" w:ascii="仿宋" w:hAnsi="仿宋" w:eastAsia="仿宋"/>
          <w:color w:val="auto"/>
          <w:sz w:val="30"/>
          <w:szCs w:val="30"/>
          <w:lang w:val="en-US" w:eastAsia="zh-CN"/>
        </w:rPr>
        <w:t>民为中心</w:t>
      </w:r>
      <w:r>
        <w:rPr>
          <w:rFonts w:hint="eastAsia" w:ascii="仿宋" w:hAnsi="仿宋" w:eastAsia="仿宋"/>
          <w:color w:val="auto"/>
          <w:sz w:val="30"/>
          <w:szCs w:val="30"/>
        </w:rPr>
        <w:t>”，将对人民生命、财产构成严重威胁的地质灾害（隐患）点优先治理，对一般地质灾害（隐患）点则采用监测为主，加强群测群防工作。地质灾害治理项目确定依据：省、市重点控制的地质灾害隐患点，危害社会公共安全且危害程度较大级以上，现状不稳定的隐患点，根据财力按轻重缓急作为近期和中远期治理项目。</w:t>
      </w:r>
    </w:p>
    <w:p>
      <w:pPr>
        <w:pStyle w:val="6"/>
        <w:ind w:firstLine="643" w:firstLineChars="200"/>
        <w:rPr>
          <w:color w:val="auto"/>
        </w:rPr>
      </w:pPr>
      <w:bookmarkStart w:id="102" w:name="_Toc3124"/>
      <w:bookmarkStart w:id="103" w:name="_Toc10456"/>
      <w:r>
        <w:rPr>
          <w:rFonts w:hint="eastAsia"/>
          <w:color w:val="auto"/>
        </w:rPr>
        <w:t>（二）项目实施可行性</w:t>
      </w:r>
      <w:bookmarkEnd w:id="102"/>
      <w:bookmarkEnd w:id="103"/>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1.领导重视，政府支持、百姓参与；地质灾害防治经费已逐年列入预算计划，使得地质灾害的防治工作有了资金保证。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当前，池州市政府为构建和谐社会，正在实施的精准扶贫、异地扶贫搬迁、生态保护脱贫、乡村振兴、城乡建设用地增减挂钩、建设新农村建设基地、美好乡村中心村等项目，这些惠农政策使农民收入不断提高，农村面貌逐步改善；这无疑为地质灾害防治工作提供了良好的社会环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3.目前，全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各种地质灾害的防治方法均比较成熟或逐步成熟，历年来的地质灾害防治工作积累了大量宝贵的基础资料，使得地质灾害防治项目的实施有了技术保障。</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总之，</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近年来的地质灾害防治工作不断得到加强，从组织机构、管理方式到资金保障、技术支持都形成了一个有机整体；所确定的防治项目基本立足于城市发展，服务于经济建设，不仅具有生态效益和社会效益，而且具有一定的经济效益；尤其是各级政府对地质灾害防治工作的重视和广大人民群众防灾减灾意识的提高，能够保证所确定的地质灾害防治项目得以顺利实施。</w:t>
      </w:r>
    </w:p>
    <w:bookmarkEnd w:id="96"/>
    <w:bookmarkEnd w:id="97"/>
    <w:bookmarkEnd w:id="98"/>
    <w:p>
      <w:pPr>
        <w:numPr>
          <w:ilvl w:val="0"/>
          <w:numId w:val="1"/>
        </w:numPr>
        <w:adjustRightInd w:val="0"/>
        <w:snapToGrid w:val="0"/>
        <w:spacing w:line="520" w:lineRule="exact"/>
        <w:ind w:left="0" w:leftChars="0" w:firstLine="723" w:firstLineChars="200"/>
        <w:outlineLvl w:val="0"/>
        <w:rPr>
          <w:rFonts w:ascii="Arial" w:hAnsi="Arial"/>
          <w:b/>
          <w:color w:val="auto"/>
          <w:kern w:val="44"/>
          <w:sz w:val="36"/>
          <w:szCs w:val="30"/>
        </w:rPr>
      </w:pPr>
      <w:bookmarkStart w:id="104" w:name="_Toc263922946"/>
      <w:bookmarkStart w:id="105" w:name="_Toc304269065"/>
      <w:bookmarkStart w:id="106" w:name="_Toc263923355"/>
      <w:bookmarkStart w:id="107" w:name="_Toc25018"/>
      <w:r>
        <w:rPr>
          <w:rFonts w:hint="eastAsia" w:ascii="Arial" w:hAnsi="Arial"/>
          <w:b/>
          <w:color w:val="auto"/>
          <w:kern w:val="44"/>
          <w:sz w:val="36"/>
          <w:szCs w:val="30"/>
        </w:rPr>
        <w:t>地质灾害防治经费预算说明</w:t>
      </w:r>
      <w:bookmarkEnd w:id="104"/>
      <w:bookmarkEnd w:id="105"/>
      <w:bookmarkEnd w:id="106"/>
      <w:bookmarkEnd w:id="107"/>
    </w:p>
    <w:p>
      <w:pPr>
        <w:pStyle w:val="6"/>
        <w:ind w:firstLine="643" w:firstLineChars="200"/>
        <w:rPr>
          <w:color w:val="auto"/>
        </w:rPr>
      </w:pPr>
      <w:bookmarkStart w:id="108" w:name="_Toc263922947"/>
      <w:bookmarkStart w:id="109" w:name="_Toc304269066"/>
      <w:bookmarkStart w:id="110" w:name="_Toc263923356"/>
      <w:bookmarkStart w:id="111" w:name="_Toc7988"/>
      <w:r>
        <w:rPr>
          <w:rFonts w:hint="eastAsia"/>
          <w:color w:val="auto"/>
        </w:rPr>
        <w:t>（一）预算项目</w:t>
      </w:r>
      <w:bookmarkEnd w:id="108"/>
      <w:bookmarkEnd w:id="109"/>
      <w:bookmarkEnd w:id="110"/>
      <w:bookmarkEnd w:id="111"/>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地质灾害防治预算项目为上述确定的地质灾害防治项目，即地质灾害调查评价项目、地质灾害监测预警项目、地质灾害防治工程项目。</w:t>
      </w:r>
    </w:p>
    <w:p>
      <w:pPr>
        <w:pStyle w:val="6"/>
        <w:ind w:firstLine="602" w:firstLineChars="200"/>
        <w:rPr>
          <w:color w:val="auto"/>
          <w:sz w:val="30"/>
        </w:rPr>
      </w:pPr>
      <w:bookmarkStart w:id="112" w:name="_Toc263923357"/>
      <w:bookmarkStart w:id="113" w:name="_Toc13653"/>
      <w:bookmarkStart w:id="114" w:name="_Toc263922948"/>
      <w:bookmarkStart w:id="115" w:name="_Toc304269067"/>
      <w:r>
        <w:rPr>
          <w:rFonts w:hint="eastAsia"/>
          <w:color w:val="auto"/>
          <w:sz w:val="30"/>
        </w:rPr>
        <w:t>（二）预算依据</w:t>
      </w:r>
      <w:bookmarkEnd w:id="112"/>
      <w:bookmarkEnd w:id="113"/>
      <w:bookmarkEnd w:id="114"/>
      <w:bookmarkEnd w:id="11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1．《安徽省地质灾害治理工程定额》（安徽省国土资源厅、安徽省财政厅，2016年）</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2．《安徽省地质调查与矿山勘查经费预算标准（2016年版）》（安徽省财政厅、安徽省国土资源厅）</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3．《工程勘查与设计收费标准》（国家发展改革委员会、建设部，2002年）；</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4．《安徽省国土资源厅 安徽省财政厅 关于印发&lt;安徽省地质灾害搬迁避让“以奖代补”实施办法&gt;的通知》（皖国土资[</w:t>
      </w:r>
      <w:r>
        <w:rPr>
          <w:rFonts w:ascii="仿宋" w:hAnsi="仿宋" w:eastAsia="仿宋"/>
          <w:color w:val="auto"/>
          <w:sz w:val="30"/>
          <w:szCs w:val="30"/>
        </w:rPr>
        <w:t>2015]47号</w:t>
      </w:r>
      <w:r>
        <w:rPr>
          <w:rFonts w:hint="eastAsia" w:ascii="仿宋" w:hAnsi="仿宋" w:eastAsia="仿宋"/>
          <w:color w:val="auto"/>
          <w:sz w:val="30"/>
          <w:szCs w:val="30"/>
        </w:rPr>
        <w:t>）（其中省级搬迁避让“以奖代补”每户补助30000元、省级搬迁避让“以奖代补”池州市级配套每户补助</w:t>
      </w:r>
      <w:r>
        <w:rPr>
          <w:rFonts w:ascii="仿宋" w:hAnsi="仿宋" w:eastAsia="仿宋"/>
          <w:color w:val="auto"/>
          <w:sz w:val="30"/>
          <w:szCs w:val="30"/>
        </w:rPr>
        <w:t>1</w:t>
      </w:r>
      <w:r>
        <w:rPr>
          <w:rFonts w:hint="eastAsia" w:ascii="仿宋" w:hAnsi="仿宋" w:eastAsia="仿宋"/>
          <w:color w:val="auto"/>
          <w:sz w:val="30"/>
          <w:szCs w:val="30"/>
        </w:rPr>
        <w:t>0000元）；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5．《安徽省国土资源厅 安徽省财政厅 关于印发安徽省地质灾害治理工程项目及资金管理办法 的通知》（皖国土资[</w:t>
      </w:r>
      <w:r>
        <w:rPr>
          <w:rFonts w:ascii="仿宋" w:hAnsi="仿宋" w:eastAsia="仿宋"/>
          <w:color w:val="auto"/>
          <w:sz w:val="30"/>
          <w:szCs w:val="30"/>
        </w:rPr>
        <w:t>2016]1641号</w:t>
      </w:r>
      <w:r>
        <w:rPr>
          <w:rFonts w:hint="eastAsia" w:ascii="仿宋" w:hAnsi="仿宋" w:eastAsia="仿宋"/>
          <w:color w:val="auto"/>
          <w:sz w:val="30"/>
          <w:szCs w:val="30"/>
        </w:rPr>
        <w:t>）（其中所需费用的4</w:t>
      </w:r>
      <w:r>
        <w:rPr>
          <w:rFonts w:ascii="仿宋" w:hAnsi="仿宋" w:eastAsia="仿宋"/>
          <w:color w:val="auto"/>
          <w:sz w:val="30"/>
          <w:szCs w:val="30"/>
        </w:rPr>
        <w:t>5%</w:t>
      </w:r>
      <w:r>
        <w:rPr>
          <w:rFonts w:hint="eastAsia" w:ascii="仿宋" w:hAnsi="仿宋" w:eastAsia="仿宋"/>
          <w:color w:val="auto"/>
          <w:sz w:val="30"/>
          <w:szCs w:val="30"/>
        </w:rPr>
        <w:t>省级专项资金补助</w:t>
      </w:r>
      <w:r>
        <w:rPr>
          <w:rFonts w:ascii="仿宋" w:hAnsi="仿宋" w:eastAsia="仿宋"/>
          <w:color w:val="auto"/>
          <w:sz w:val="30"/>
          <w:szCs w:val="30"/>
        </w:rPr>
        <w:t>，剩余</w:t>
      </w:r>
      <w:r>
        <w:rPr>
          <w:rFonts w:hint="eastAsia" w:ascii="仿宋" w:hAnsi="仿宋" w:eastAsia="仿宋"/>
          <w:color w:val="auto"/>
          <w:sz w:val="30"/>
          <w:szCs w:val="30"/>
        </w:rPr>
        <w:t>5</w:t>
      </w:r>
      <w:r>
        <w:rPr>
          <w:rFonts w:ascii="仿宋" w:hAnsi="仿宋" w:eastAsia="仿宋"/>
          <w:color w:val="auto"/>
          <w:sz w:val="30"/>
          <w:szCs w:val="30"/>
        </w:rPr>
        <w:t>5%由地方配套</w:t>
      </w:r>
      <w:r>
        <w:rPr>
          <w:rFonts w:hint="eastAsia" w:ascii="仿宋" w:hAnsi="仿宋" w:eastAsia="仿宋"/>
          <w:color w:val="auto"/>
          <w:sz w:val="30"/>
          <w:szCs w:val="30"/>
        </w:rPr>
        <w:t>）</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6</w:t>
      </w:r>
      <w:r>
        <w:rPr>
          <w:rFonts w:ascii="仿宋" w:hAnsi="仿宋" w:eastAsia="仿宋"/>
          <w:color w:val="auto"/>
          <w:sz w:val="30"/>
          <w:szCs w:val="30"/>
        </w:rPr>
        <w:t>.</w:t>
      </w:r>
      <w:r>
        <w:rPr>
          <w:rFonts w:hint="eastAsia" w:ascii="仿宋" w:hAnsi="仿宋" w:eastAsia="仿宋"/>
          <w:color w:val="auto"/>
          <w:sz w:val="30"/>
          <w:szCs w:val="30"/>
        </w:rPr>
        <w:t>设备采购参考市场价。</w:t>
      </w:r>
    </w:p>
    <w:p>
      <w:pPr>
        <w:pStyle w:val="6"/>
        <w:ind w:firstLine="643" w:firstLineChars="200"/>
        <w:rPr>
          <w:color w:val="auto"/>
          <w:highlight w:val="none"/>
        </w:rPr>
      </w:pPr>
      <w:bookmarkStart w:id="116" w:name="_Toc11568"/>
      <w:r>
        <w:rPr>
          <w:rFonts w:hint="eastAsia"/>
          <w:color w:val="auto"/>
          <w:highlight w:val="none"/>
        </w:rPr>
        <w:t>（三）预算结果</w:t>
      </w:r>
      <w:bookmarkEnd w:id="116"/>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“十四五”期间东至县地质灾害防治经费总概算3468.3万元。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地质灾害调查评价</w:t>
      </w:r>
      <w:r>
        <w:rPr>
          <w:rFonts w:hint="eastAsia" w:ascii="仿宋" w:hAnsi="仿宋" w:eastAsia="仿宋"/>
          <w:color w:val="auto"/>
          <w:sz w:val="30"/>
          <w:szCs w:val="30"/>
          <w:lang w:val="en-US" w:eastAsia="zh-CN"/>
        </w:rPr>
        <w:t>经费</w:t>
      </w:r>
      <w:r>
        <w:rPr>
          <w:rFonts w:hint="eastAsia" w:ascii="仿宋" w:hAnsi="仿宋" w:eastAsia="仿宋" w:cs="Times New Roman"/>
          <w:color w:val="auto"/>
          <w:kern w:val="2"/>
          <w:sz w:val="30"/>
          <w:szCs w:val="30"/>
          <w:lang w:val="en-US" w:eastAsia="zh-CN" w:bidi="ar-SA"/>
        </w:rPr>
        <w:t>估算515万元。其中地质灾害隐患综合遥感识别经费估算20万元， 1：5万县（区）级风险调查经费估算320万元，重点乡镇1：1万地质灾害详细调查100万元，地质灾害“三查”工作75万元。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地质灾害监测预警经费估算149.3万元。其中雨量站点建设与维护16.8万元，地质灾害</w:t>
      </w:r>
      <w:r>
        <w:rPr>
          <w:rFonts w:hint="eastAsia" w:ascii="仿宋" w:hAnsi="仿宋" w:eastAsia="仿宋"/>
          <w:color w:val="auto"/>
          <w:sz w:val="30"/>
          <w:szCs w:val="30"/>
          <w:lang w:val="en-US" w:eastAsia="zh-CN"/>
        </w:rPr>
        <w:t>监测</w:t>
      </w:r>
      <w:r>
        <w:rPr>
          <w:rFonts w:hint="eastAsia" w:ascii="仿宋" w:hAnsi="仿宋" w:eastAsia="仿宋" w:cs="Times New Roman"/>
          <w:color w:val="auto"/>
          <w:kern w:val="2"/>
          <w:sz w:val="30"/>
          <w:szCs w:val="30"/>
          <w:lang w:val="en-US" w:eastAsia="zh-CN" w:bidi="ar-SA"/>
        </w:rPr>
        <w:t>设备安装82.5万元，网格化体系建设50万元。</w:t>
      </w:r>
    </w:p>
    <w:p>
      <w:pPr>
        <w:adjustRightInd w:val="0"/>
        <w:snapToGrid w:val="0"/>
        <w:spacing w:line="360" w:lineRule="auto"/>
        <w:ind w:firstLine="600" w:firstLineChars="200"/>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搬迁避让估算574万元。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地质灾害工程治理经费估算2060万元。其中，地质灾害治理工程经费估算2000万元，排危除险工程经费估算60万元。</w:t>
      </w:r>
    </w:p>
    <w:p>
      <w:pPr>
        <w:adjustRightInd w:val="0"/>
        <w:snapToGrid w:val="0"/>
        <w:spacing w:line="360" w:lineRule="auto"/>
        <w:ind w:firstLine="600" w:firstLineChars="200"/>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基层地质灾害防治能力建设经费估算120万元。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信息化建设经费</w:t>
      </w:r>
      <w:r>
        <w:rPr>
          <w:rFonts w:hint="eastAsia" w:ascii="仿宋" w:hAnsi="仿宋" w:eastAsia="仿宋"/>
          <w:color w:val="auto"/>
          <w:sz w:val="30"/>
          <w:szCs w:val="30"/>
          <w:lang w:val="en-US" w:eastAsia="zh-CN"/>
        </w:rPr>
        <w:t>估算</w:t>
      </w:r>
      <w:r>
        <w:rPr>
          <w:rFonts w:hint="eastAsia" w:ascii="仿宋" w:hAnsi="仿宋" w:eastAsia="仿宋" w:cs="Times New Roman"/>
          <w:color w:val="auto"/>
          <w:kern w:val="2"/>
          <w:sz w:val="30"/>
          <w:szCs w:val="30"/>
          <w:lang w:val="en-US" w:eastAsia="zh-CN" w:bidi="ar-SA"/>
        </w:rPr>
        <w:t>50万元。</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Times New Roman"/>
          <w:color w:val="auto"/>
          <w:kern w:val="2"/>
          <w:sz w:val="30"/>
          <w:szCs w:val="30"/>
          <w:lang w:val="en-US" w:eastAsia="zh-CN" w:bidi="ar-SA"/>
        </w:rPr>
      </w:pPr>
      <w:r>
        <w:rPr>
          <w:rFonts w:hint="eastAsia" w:ascii="仿宋" w:hAnsi="仿宋" w:eastAsia="仿宋" w:cs="Times New Roman"/>
          <w:color w:val="auto"/>
          <w:kern w:val="2"/>
          <w:sz w:val="30"/>
          <w:szCs w:val="30"/>
          <w:lang w:val="en-US" w:eastAsia="zh-CN" w:bidi="ar-SA"/>
        </w:rPr>
        <w:t>经费来源主要</w:t>
      </w:r>
      <w:r>
        <w:rPr>
          <w:rFonts w:hint="eastAsia" w:ascii="仿宋" w:hAnsi="仿宋" w:eastAsia="仿宋"/>
          <w:color w:val="auto"/>
          <w:sz w:val="30"/>
          <w:szCs w:val="30"/>
          <w:lang w:val="en-US" w:eastAsia="zh-CN"/>
        </w:rPr>
        <w:t>积极</w:t>
      </w:r>
      <w:r>
        <w:rPr>
          <w:rFonts w:hint="eastAsia" w:ascii="仿宋" w:hAnsi="仿宋" w:eastAsia="仿宋" w:cs="Times New Roman"/>
          <w:color w:val="auto"/>
          <w:kern w:val="2"/>
          <w:sz w:val="30"/>
          <w:szCs w:val="30"/>
          <w:lang w:val="en-US" w:eastAsia="zh-CN" w:bidi="ar-SA"/>
        </w:rPr>
        <w:t>争取省级财政补助资金和专项资金，不足部分执行地方配套措施。</w:t>
      </w:r>
    </w:p>
    <w:p>
      <w:pPr>
        <w:spacing w:line="360" w:lineRule="auto"/>
        <w:ind w:firstLine="600" w:firstLineChars="200"/>
        <w:rPr>
          <w:rFonts w:hint="eastAsia" w:ascii="仿宋" w:hAnsi="仿宋" w:eastAsia="仿宋"/>
          <w:color w:val="auto"/>
          <w:sz w:val="30"/>
          <w:szCs w:val="30"/>
        </w:rPr>
      </w:pPr>
      <w:r>
        <w:rPr>
          <w:rFonts w:hint="eastAsia" w:ascii="仿宋" w:hAnsi="仿宋" w:eastAsia="仿宋"/>
          <w:color w:val="auto"/>
          <w:sz w:val="30"/>
          <w:szCs w:val="30"/>
        </w:rPr>
        <w:t>预算结果详见表9</w:t>
      </w:r>
      <w:r>
        <w:rPr>
          <w:rFonts w:ascii="仿宋" w:hAnsi="仿宋" w:eastAsia="仿宋"/>
          <w:color w:val="auto"/>
          <w:sz w:val="30"/>
          <w:szCs w:val="30"/>
        </w:rPr>
        <w:t>-</w:t>
      </w:r>
      <w:r>
        <w:rPr>
          <w:rFonts w:hint="eastAsia" w:ascii="仿宋" w:hAnsi="仿宋" w:eastAsia="仿宋"/>
          <w:color w:val="auto"/>
          <w:sz w:val="30"/>
          <w:szCs w:val="30"/>
        </w:rPr>
        <w:t>1。</w:t>
      </w: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ascii="仿宋" w:hAnsi="仿宋" w:eastAsia="仿宋"/>
          <w:color w:val="auto"/>
          <w:sz w:val="30"/>
          <w:szCs w:val="30"/>
        </w:rPr>
      </w:pP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ascii="仿宋" w:hAnsi="仿宋" w:eastAsia="仿宋"/>
          <w:color w:val="auto"/>
          <w:sz w:val="30"/>
          <w:szCs w:val="30"/>
        </w:rPr>
      </w:pPr>
    </w:p>
    <w:p>
      <w:pPr>
        <w:pStyle w:val="2"/>
        <w:rPr>
          <w:rFonts w:hint="eastAsia" w:ascii="仿宋" w:hAnsi="仿宋" w:eastAsia="仿宋"/>
          <w:color w:val="auto"/>
          <w:sz w:val="30"/>
          <w:szCs w:val="30"/>
        </w:rPr>
      </w:pPr>
    </w:p>
    <w:p>
      <w:pPr>
        <w:pStyle w:val="3"/>
        <w:rPr>
          <w:rFonts w:hint="eastAsia" w:ascii="仿宋" w:hAnsi="仿宋" w:eastAsia="仿宋"/>
          <w:color w:val="auto"/>
          <w:sz w:val="30"/>
          <w:szCs w:val="30"/>
        </w:rPr>
      </w:pPr>
    </w:p>
    <w:p>
      <w:pPr>
        <w:rPr>
          <w:rFonts w:hint="eastAsia" w:ascii="仿宋" w:hAnsi="仿宋" w:eastAsia="仿宋"/>
          <w:color w:val="auto"/>
          <w:sz w:val="30"/>
          <w:szCs w:val="30"/>
        </w:rPr>
      </w:pPr>
    </w:p>
    <w:p>
      <w:pPr>
        <w:pStyle w:val="2"/>
        <w:rPr>
          <w:rFonts w:hint="eastAsia" w:ascii="仿宋" w:hAnsi="仿宋" w:eastAsia="仿宋"/>
          <w:color w:val="auto"/>
          <w:sz w:val="30"/>
          <w:szCs w:val="30"/>
        </w:rPr>
      </w:pPr>
    </w:p>
    <w:p>
      <w:pPr>
        <w:pStyle w:val="3"/>
      </w:pPr>
    </w:p>
    <w:p>
      <w:pPr>
        <w:widowControl/>
        <w:spacing w:line="520" w:lineRule="exact"/>
        <w:ind w:firstLine="562" w:firstLineChars="200"/>
        <w:jc w:val="center"/>
        <w:textAlignment w:val="center"/>
        <w:rPr>
          <w:rFonts w:ascii="仿宋" w:hAnsi="仿宋" w:eastAsia="仿宋"/>
          <w:b/>
          <w:color w:val="auto"/>
          <w:sz w:val="28"/>
          <w:szCs w:val="28"/>
        </w:rPr>
      </w:pPr>
      <w:r>
        <w:rPr>
          <w:rFonts w:hint="eastAsia" w:ascii="仿宋" w:hAnsi="仿宋" w:eastAsia="仿宋"/>
          <w:b/>
          <w:color w:val="auto"/>
          <w:sz w:val="28"/>
          <w:szCs w:val="28"/>
        </w:rPr>
        <w:t>表9</w:t>
      </w:r>
      <w:r>
        <w:rPr>
          <w:rFonts w:ascii="仿宋" w:hAnsi="仿宋" w:eastAsia="仿宋"/>
          <w:b/>
          <w:color w:val="auto"/>
          <w:sz w:val="28"/>
          <w:szCs w:val="28"/>
        </w:rPr>
        <w:t>-</w:t>
      </w:r>
      <w:r>
        <w:rPr>
          <w:rFonts w:hint="eastAsia" w:ascii="仿宋" w:hAnsi="仿宋" w:eastAsia="仿宋"/>
          <w:b/>
          <w:color w:val="auto"/>
          <w:sz w:val="28"/>
          <w:szCs w:val="28"/>
        </w:rPr>
        <w:t xml:space="preserve">1  </w:t>
      </w:r>
      <w:r>
        <w:rPr>
          <w:rFonts w:hint="eastAsia" w:ascii="仿宋" w:hAnsi="仿宋" w:eastAsia="仿宋"/>
          <w:b/>
          <w:color w:val="auto"/>
          <w:sz w:val="28"/>
          <w:szCs w:val="28"/>
          <w:lang w:val="en-US" w:eastAsia="zh-CN"/>
        </w:rPr>
        <w:t>东至县</w:t>
      </w:r>
      <w:r>
        <w:rPr>
          <w:rFonts w:hint="eastAsia" w:ascii="仿宋" w:hAnsi="仿宋" w:eastAsia="仿宋"/>
          <w:b/>
          <w:color w:val="auto"/>
          <w:sz w:val="28"/>
          <w:szCs w:val="28"/>
        </w:rPr>
        <w:t>地质灾害防治“十四五”经费估算总表</w:t>
      </w:r>
    </w:p>
    <w:tbl>
      <w:tblPr>
        <w:tblStyle w:val="30"/>
        <w:tblW w:w="4998" w:type="pct"/>
        <w:tblInd w:w="0" w:type="dxa"/>
        <w:shd w:val="clear" w:color="auto" w:fill="auto"/>
        <w:tblLayout w:type="autofit"/>
        <w:tblCellMar>
          <w:top w:w="0" w:type="dxa"/>
          <w:left w:w="0" w:type="dxa"/>
          <w:bottom w:w="0" w:type="dxa"/>
          <w:right w:w="0" w:type="dxa"/>
        </w:tblCellMar>
      </w:tblPr>
      <w:tblGrid>
        <w:gridCol w:w="1630"/>
        <w:gridCol w:w="3230"/>
        <w:gridCol w:w="930"/>
        <w:gridCol w:w="1235"/>
        <w:gridCol w:w="630"/>
        <w:gridCol w:w="835"/>
        <w:gridCol w:w="835"/>
      </w:tblGrid>
      <w:tr>
        <w:tblPrEx>
          <w:tblCellMar>
            <w:top w:w="0" w:type="dxa"/>
            <w:left w:w="0" w:type="dxa"/>
            <w:bottom w:w="0" w:type="dxa"/>
            <w:right w:w="0" w:type="dxa"/>
          </w:tblCellMar>
        </w:tblPrEx>
        <w:trPr>
          <w:trHeight w:val="330" w:hRule="atLeast"/>
        </w:trPr>
        <w:tc>
          <w:tcPr>
            <w:tcW w:w="1630" w:type="dxa"/>
            <w:vMerge w:val="restart"/>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防治任务</w:t>
            </w:r>
          </w:p>
        </w:tc>
        <w:tc>
          <w:tcPr>
            <w:tcW w:w="3230" w:type="dxa"/>
            <w:vMerge w:val="restar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规划任务内容</w:t>
            </w:r>
          </w:p>
        </w:tc>
        <w:tc>
          <w:tcPr>
            <w:tcW w:w="930" w:type="dxa"/>
            <w:vMerge w:val="restar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时间安排</w:t>
            </w:r>
          </w:p>
        </w:tc>
        <w:tc>
          <w:tcPr>
            <w:tcW w:w="1235" w:type="dxa"/>
            <w:vMerge w:val="restar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工作量及范围</w:t>
            </w:r>
          </w:p>
        </w:tc>
        <w:tc>
          <w:tcPr>
            <w:tcW w:w="630"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资金来源</w:t>
            </w:r>
          </w:p>
        </w:tc>
        <w:tc>
          <w:tcPr>
            <w:tcW w:w="835" w:type="dxa"/>
            <w:tcBorders>
              <w:top w:val="single" w:color="000000" w:sz="8" w:space="0"/>
              <w:left w:val="nil"/>
              <w:bottom w:val="nil"/>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经费估算</w:t>
            </w:r>
          </w:p>
        </w:tc>
        <w:tc>
          <w:tcPr>
            <w:tcW w:w="835" w:type="dxa"/>
            <w:tcBorders>
              <w:top w:val="single" w:color="000000" w:sz="8" w:space="0"/>
              <w:left w:val="nil"/>
              <w:bottom w:val="nil"/>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合计</w:t>
            </w:r>
          </w:p>
        </w:tc>
      </w:tr>
      <w:tr>
        <w:tblPrEx>
          <w:tblCellMar>
            <w:top w:w="0" w:type="dxa"/>
            <w:left w:w="0" w:type="dxa"/>
            <w:bottom w:w="0" w:type="dxa"/>
            <w:right w:w="0" w:type="dxa"/>
          </w:tblCellMar>
        </w:tblPrEx>
        <w:trPr>
          <w:trHeight w:val="270" w:hRule="atLeast"/>
        </w:trPr>
        <w:tc>
          <w:tcPr>
            <w:tcW w:w="1630"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3230" w:type="dxa"/>
            <w:vMerge w:val="continue"/>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930" w:type="dxa"/>
            <w:vMerge w:val="continue"/>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235" w:type="dxa"/>
            <w:vMerge w:val="continue"/>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630"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(万元）</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（万元）</w:t>
            </w:r>
          </w:p>
        </w:tc>
      </w:tr>
      <w:tr>
        <w:tblPrEx>
          <w:tblCellMar>
            <w:top w:w="0" w:type="dxa"/>
            <w:left w:w="0" w:type="dxa"/>
            <w:bottom w:w="0" w:type="dxa"/>
            <w:right w:w="0" w:type="dxa"/>
          </w:tblCellMar>
        </w:tblPrEx>
        <w:trPr>
          <w:trHeight w:val="330" w:hRule="atLeast"/>
        </w:trPr>
        <w:tc>
          <w:tcPr>
            <w:tcW w:w="163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调查评价</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地质灾害隐患遥感识别</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835" w:type="dxa"/>
            <w:vMerge w:val="restar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515</w:t>
            </w:r>
          </w:p>
        </w:tc>
      </w:tr>
      <w:tr>
        <w:tblPrEx>
          <w:shd w:val="clear" w:color="auto" w:fill="auto"/>
          <w:tblCellMar>
            <w:top w:w="0" w:type="dxa"/>
            <w:left w:w="0" w:type="dxa"/>
            <w:bottom w:w="0" w:type="dxa"/>
            <w:right w:w="0" w:type="dxa"/>
          </w:tblCellMar>
        </w:tblPrEx>
        <w:trPr>
          <w:trHeight w:val="255" w:hRule="atLeast"/>
        </w:trPr>
        <w:tc>
          <w:tcPr>
            <w:tcW w:w="163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1:5万县级地质灾害风险调查评价</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2021-2023</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320</w:t>
            </w:r>
          </w:p>
        </w:tc>
        <w:tc>
          <w:tcPr>
            <w:tcW w:w="835"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70" w:hRule="atLeast"/>
        </w:trPr>
        <w:tc>
          <w:tcPr>
            <w:tcW w:w="163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重点乡镇1:1万地质灾害详细调查</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1个乡镇</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c>
          <w:tcPr>
            <w:tcW w:w="835"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240" w:hRule="atLeast"/>
        </w:trPr>
        <w:tc>
          <w:tcPr>
            <w:tcW w:w="163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地质灾害“三查”工作</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县级财政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75</w:t>
            </w:r>
          </w:p>
        </w:tc>
        <w:tc>
          <w:tcPr>
            <w:tcW w:w="835"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15"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监测预警</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雨量站点建设与维护</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14个站点</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16.8</w:t>
            </w:r>
          </w:p>
        </w:tc>
        <w:tc>
          <w:tcPr>
            <w:tcW w:w="835"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149.3</w:t>
            </w:r>
          </w:p>
        </w:tc>
      </w:tr>
      <w:tr>
        <w:tblPrEx>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地质灾害监测设备安装</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55个站点</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82.5</w:t>
            </w:r>
          </w:p>
        </w:tc>
        <w:tc>
          <w:tcPr>
            <w:tcW w:w="83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网格化体系建设</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c>
          <w:tcPr>
            <w:tcW w:w="83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利用市级地质灾害气象预报预警平台</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1个</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w:t>
            </w:r>
          </w:p>
        </w:tc>
        <w:tc>
          <w:tcPr>
            <w:tcW w:w="835"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315" w:hRule="atLeast"/>
        </w:trPr>
        <w:tc>
          <w:tcPr>
            <w:tcW w:w="1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搬迁避让</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地质灾害搬迁避让</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14个隐患点</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574</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574</w:t>
            </w:r>
          </w:p>
        </w:tc>
      </w:tr>
      <w:tr>
        <w:tblPrEx>
          <w:tblCellMar>
            <w:top w:w="0" w:type="dxa"/>
            <w:left w:w="0" w:type="dxa"/>
            <w:bottom w:w="0" w:type="dxa"/>
            <w:right w:w="0" w:type="dxa"/>
          </w:tblCellMar>
        </w:tblPrEx>
        <w:trPr>
          <w:trHeight w:val="24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工程治理</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地质灾害治理工程</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10个隐患点</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2000</w:t>
            </w:r>
          </w:p>
        </w:tc>
        <w:tc>
          <w:tcPr>
            <w:tcW w:w="835" w:type="dxa"/>
            <w:vMerge w:val="restar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2060</w:t>
            </w:r>
          </w:p>
        </w:tc>
      </w:tr>
      <w:tr>
        <w:tblPrEx>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地质灾害排危除险</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3个隐患点</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60</w:t>
            </w:r>
          </w:p>
        </w:tc>
        <w:tc>
          <w:tcPr>
            <w:tcW w:w="835"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24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基层防灾能力建设</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基层防灾能力建设</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c>
          <w:tcPr>
            <w:tcW w:w="835" w:type="dxa"/>
            <w:vMerge w:val="restar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120</w:t>
            </w:r>
          </w:p>
        </w:tc>
      </w:tr>
      <w:tr>
        <w:tblPrEx>
          <w:shd w:val="clear" w:color="auto" w:fill="auto"/>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法规建设、地灾科普宣传</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县级财政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835"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40" w:hRule="atLeast"/>
        </w:trPr>
        <w:tc>
          <w:tcPr>
            <w:tcW w:w="1630" w:type="dxa"/>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信息化建设</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地质灾害信息化</w:t>
            </w:r>
          </w:p>
        </w:tc>
        <w:tc>
          <w:tcPr>
            <w:tcW w:w="9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2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630"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r>
      <w:tr>
        <w:tblPrEx>
          <w:tblCellMar>
            <w:top w:w="0" w:type="dxa"/>
            <w:left w:w="0" w:type="dxa"/>
            <w:bottom w:w="0" w:type="dxa"/>
            <w:right w:w="0" w:type="dxa"/>
          </w:tblCellMar>
        </w:tblPrEx>
        <w:trPr>
          <w:trHeight w:val="315" w:hRule="atLeast"/>
        </w:trPr>
        <w:tc>
          <w:tcPr>
            <w:tcW w:w="7025" w:type="dxa"/>
            <w:gridSpan w:val="4"/>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  计</w:t>
            </w:r>
          </w:p>
        </w:tc>
        <w:tc>
          <w:tcPr>
            <w:tcW w:w="6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3468.3</w:t>
            </w:r>
          </w:p>
        </w:tc>
        <w:tc>
          <w:tcPr>
            <w:tcW w:w="835"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3468.3</w:t>
            </w: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1.经济效益</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本规划实施后，通过地质灾害防治经费投入的</w:t>
      </w:r>
      <w:r>
        <w:rPr>
          <w:rFonts w:hint="eastAsia" w:ascii="仿宋" w:hAnsi="仿宋" w:eastAsia="仿宋"/>
          <w:color w:val="auto"/>
          <w:sz w:val="30"/>
          <w:szCs w:val="30"/>
          <w:lang w:val="en-US" w:eastAsia="zh-CN"/>
        </w:rPr>
        <w:t>3468.3</w:t>
      </w:r>
      <w:r>
        <w:rPr>
          <w:rFonts w:hint="eastAsia" w:ascii="仿宋" w:hAnsi="仿宋" w:eastAsia="仿宋"/>
          <w:color w:val="auto"/>
          <w:sz w:val="30"/>
          <w:szCs w:val="30"/>
        </w:rPr>
        <w:t>万元，可以有效地预防、控制或减少综合与自然因素引发的地质灾害，解除受威胁人口</w:t>
      </w:r>
      <w:r>
        <w:rPr>
          <w:rFonts w:hint="eastAsia" w:ascii="仿宋" w:hAnsi="仿宋" w:eastAsia="仿宋"/>
          <w:color w:val="auto"/>
          <w:sz w:val="30"/>
          <w:szCs w:val="30"/>
          <w:lang w:val="en-US" w:eastAsia="zh-CN"/>
        </w:rPr>
        <w:t>上百</w:t>
      </w:r>
      <w:r>
        <w:rPr>
          <w:rFonts w:hint="eastAsia" w:ascii="仿宋" w:hAnsi="仿宋" w:eastAsia="仿宋"/>
          <w:color w:val="auto"/>
          <w:sz w:val="30"/>
          <w:szCs w:val="30"/>
        </w:rPr>
        <w:t>人，减少人民财产损失</w:t>
      </w:r>
      <w:r>
        <w:rPr>
          <w:rFonts w:hint="eastAsia" w:ascii="仿宋" w:hAnsi="仿宋" w:eastAsia="仿宋"/>
          <w:color w:val="auto"/>
          <w:sz w:val="30"/>
          <w:szCs w:val="30"/>
          <w:lang w:val="en-US" w:eastAsia="zh-CN"/>
        </w:rPr>
        <w:t>上千</w:t>
      </w:r>
      <w:r>
        <w:rPr>
          <w:rFonts w:hint="eastAsia" w:ascii="仿宋" w:hAnsi="仿宋" w:eastAsia="仿宋"/>
          <w:color w:val="auto"/>
          <w:sz w:val="30"/>
          <w:szCs w:val="30"/>
        </w:rPr>
        <w:t>万，建筑及道路等设施得到保护，经济效益显著。</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2.社会效益</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本规划实施后，可推动地质灾害防治工作向法制化、规范化、制度化的目标迈进，全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地质灾害防治意识得到极大的提高；通过搬迁避让和排危除险、工程治理，部分危害严重，社会影响大的地质灾害隐患点得到治理，有效地保障人民生命财产安全，对维护社会稳定、促进社会和谐发展具有显著的社会效益。</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3.生态效益</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通过本轮规划期地质灾害的综合治理，全面提高了本市的地质环境保护和管理水平，改善了本市生态环境，促进了本市地质环境资源利用方式向“科学型”转变，使地质环境的开发和利用逐步走向有序化、合理化，同时推进了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绿色发展、循环发展、低碳发展，促进全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生态环保优先和资源节约集约利用。</w:t>
      </w:r>
    </w:p>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bookmarkStart w:id="117" w:name="_Toc304269071"/>
      <w:bookmarkStart w:id="118" w:name="_Toc25878"/>
      <w:r>
        <w:rPr>
          <w:rFonts w:hint="eastAsia" w:ascii="Arial" w:hAnsi="Arial"/>
          <w:b/>
          <w:color w:val="auto"/>
          <w:kern w:val="44"/>
          <w:sz w:val="36"/>
          <w:szCs w:val="30"/>
        </w:rPr>
        <w:t>规划实施保障措施</w:t>
      </w:r>
      <w:bookmarkEnd w:id="117"/>
      <w:bookmarkEnd w:id="118"/>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规划实施保障措施主要依据《国务院关于加强地质灾害防治工作的决定》 的第七条“健全保障机制”方面的相关要求进行制定。</w:t>
      </w:r>
    </w:p>
    <w:p>
      <w:pPr>
        <w:pStyle w:val="6"/>
        <w:ind w:firstLine="643" w:firstLineChars="200"/>
        <w:rPr>
          <w:color w:val="auto"/>
        </w:rPr>
      </w:pPr>
      <w:bookmarkStart w:id="119" w:name="_Toc55032229"/>
      <w:bookmarkStart w:id="120" w:name="_Toc13424"/>
      <w:r>
        <w:rPr>
          <w:rFonts w:hint="eastAsia"/>
          <w:color w:val="auto"/>
        </w:rPr>
        <w:t>（一）加强组织领导，明确责任分工</w:t>
      </w:r>
      <w:bookmarkEnd w:id="119"/>
      <w:bookmarkEnd w:id="120"/>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 xml:space="preserve">坚持地方政府在地质灾害防治工作中的领导地位和主体责任地位，各级自然资源主管部门负责本行政区域内地质灾害防御行动的组织、协调、指导和监督。各级发展改革、教育、科技、工业和信息化、民政、财政、住建、交通、水利、旅游等部门按照职责分工，做好相关领域和行业地质灾害防御行动方案的落实。大力推进地质灾害网格化管理建设，将基层地质灾害监测责任和防治责任落实到位。 </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各级党委政府要会同有关部门加强目标责任制落实情况的监督考核，将各级落实年度目标和任务情况列入政府目标责任制考核，将任务层层分解，确保地质灾害综合治理工作落到实处，考核结果将作为领导班子和领导干部综合考核评价的重要内容。要发挥人大、政协的监督作用，对地质灾害防治工作落实情况和各级人民政府履职情况进行专项督查，发现问题及时责令限期整改。</w:t>
      </w:r>
    </w:p>
    <w:p>
      <w:pPr>
        <w:pStyle w:val="6"/>
        <w:ind w:firstLine="643" w:firstLineChars="200"/>
        <w:rPr>
          <w:color w:val="auto"/>
        </w:rPr>
      </w:pPr>
      <w:bookmarkStart w:id="121" w:name="_Toc8430"/>
      <w:bookmarkStart w:id="122" w:name="_Toc55032230"/>
      <w:r>
        <w:rPr>
          <w:rFonts w:hint="eastAsia"/>
          <w:color w:val="auto"/>
        </w:rPr>
        <w:t>（二）</w:t>
      </w:r>
      <w:r>
        <w:rPr>
          <w:color w:val="auto"/>
        </w:rPr>
        <w:t>坚持依法防灾</w:t>
      </w:r>
      <w:r>
        <w:rPr>
          <w:rFonts w:hint="eastAsia"/>
          <w:color w:val="auto"/>
        </w:rPr>
        <w:t>，完善制度建设</w:t>
      </w:r>
      <w:bookmarkEnd w:id="121"/>
      <w:bookmarkEnd w:id="122"/>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bookmarkStart w:id="123" w:name="_Toc153247814"/>
      <w:r>
        <w:rPr>
          <w:rFonts w:hint="eastAsia" w:ascii="仿宋" w:hAnsi="仿宋" w:eastAsia="仿宋"/>
          <w:color w:val="auto"/>
          <w:sz w:val="30"/>
          <w:szCs w:val="30"/>
        </w:rPr>
        <w:t>自然资源部门应会同同级应急、水利、交通、地震、气象等部门根据《意见》明确的任务，将地质灾害防治工作纳入国土空间规划，源头管控地质灾害风险。水利、铁路、交通、教育、旅游、能源及企业等在进行重大工程建设项目规划时，应当充分考虑地质灾害防治要求，避免和减轻地质灾害造成的损失。在地质灾害易发区开展新农村、新城镇、学校、医院、养老院等建设，必须在可研阶段进行地质灾害危险性评估，作出科学评价，提出预防措施。按照《安徽省地质灾害易发区农村村民建房管理规定》（2014年第253号令），规范地质灾害易发区农村村民建房管理，从源头管控切坡建房。</w:t>
      </w:r>
      <w:bookmarkEnd w:id="123"/>
      <w:r>
        <w:rPr>
          <w:rFonts w:hint="eastAsia" w:ascii="仿宋" w:hAnsi="仿宋" w:eastAsia="仿宋"/>
          <w:color w:val="auto"/>
          <w:sz w:val="30"/>
          <w:szCs w:val="30"/>
        </w:rPr>
        <w:t xml:space="preserve">  </w:t>
      </w:r>
    </w:p>
    <w:p>
      <w:pPr>
        <w:pStyle w:val="6"/>
        <w:ind w:firstLine="643" w:firstLineChars="200"/>
        <w:rPr>
          <w:color w:val="auto"/>
        </w:rPr>
      </w:pPr>
      <w:bookmarkStart w:id="124" w:name="_Toc19650"/>
      <w:bookmarkStart w:id="125" w:name="_Toc55032231"/>
      <w:r>
        <w:rPr>
          <w:rFonts w:hint="eastAsia"/>
          <w:color w:val="auto"/>
        </w:rPr>
        <w:t>（三）</w:t>
      </w:r>
      <w:r>
        <w:rPr>
          <w:color w:val="auto"/>
        </w:rPr>
        <w:t>加</w:t>
      </w:r>
      <w:r>
        <w:rPr>
          <w:rFonts w:hint="eastAsia"/>
          <w:color w:val="auto"/>
        </w:rPr>
        <w:t>大</w:t>
      </w:r>
      <w:r>
        <w:rPr>
          <w:color w:val="auto"/>
        </w:rPr>
        <w:t>资金</w:t>
      </w:r>
      <w:r>
        <w:rPr>
          <w:rFonts w:hint="eastAsia"/>
          <w:color w:val="auto"/>
        </w:rPr>
        <w:t>投入，健全经费保障</w:t>
      </w:r>
      <w:bookmarkEnd w:id="124"/>
      <w:bookmarkEnd w:id="12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建立地质灾害防治专项基金。地质灾害防治纳入市（县、区）国民经济发展计划，地质灾害防治资金列入各级政府年度财政公共预算，并进一步加大资金投入，建立地质灾害防治专项资金，同时争取省级地质灾害专项资金的支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把地质灾害的搬迁避让和工程治理与脱贫攻坚、土地整治、水利建设、防汛抗旱、交通建设、生态环境建设、新农村建设、城镇建设、乡村振兴等相关工作紧密结合和融合起来，建立政府主导、社会参与、开发式治理和市场化运作共同参与的地质灾害防治新模式。同时鼓励社会资金参与，坚持共享发展理念，积极探索“政府主导、政策扶持、社会参与、开发式治理、市场化运作”的地质灾害防治新模式。</w:t>
      </w:r>
    </w:p>
    <w:p>
      <w:pPr>
        <w:spacing w:line="360" w:lineRule="auto"/>
        <w:ind w:firstLine="600" w:firstLineChars="200"/>
        <w:rPr>
          <w:rFonts w:ascii="仿宋" w:hAnsi="仿宋" w:eastAsia="仿宋"/>
          <w:color w:val="auto"/>
          <w:sz w:val="30"/>
          <w:szCs w:val="30"/>
        </w:rPr>
      </w:pPr>
      <w:r>
        <w:rPr>
          <w:rFonts w:hint="eastAsia" w:ascii="仿宋" w:hAnsi="仿宋" w:eastAsia="仿宋"/>
          <w:color w:val="auto"/>
          <w:sz w:val="30"/>
          <w:szCs w:val="30"/>
        </w:rPr>
        <w:t>各级防治资金实行专款专用，并加强资金监管。</w:t>
      </w:r>
    </w:p>
    <w:p>
      <w:pPr>
        <w:pStyle w:val="6"/>
        <w:ind w:firstLine="643" w:firstLineChars="200"/>
        <w:rPr>
          <w:color w:val="auto"/>
        </w:rPr>
      </w:pPr>
      <w:bookmarkStart w:id="126" w:name="_Toc12942"/>
      <w:bookmarkStart w:id="127" w:name="_Toc55032232"/>
      <w:r>
        <w:rPr>
          <w:rFonts w:hint="eastAsia"/>
          <w:color w:val="auto"/>
        </w:rPr>
        <w:t>（四）完善支撑体系，强化技术支撑</w:t>
      </w:r>
      <w:bookmarkEnd w:id="126"/>
      <w:bookmarkEnd w:id="127"/>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加快推进专业监测队伍和专业技术队伍建设，建立延伸至乡镇等基层地质灾害防治机构，培养一支高素质的专业技术队伍，定期组织地质灾害管理人员、专业技术人员、群测群防员和受威胁群众进行学习培训，不断提高管理人员的指挥调度能力、专业技术人员的技术支撑能力、群测群防员识灾报灾能力及受威胁群众的自救互救能力。</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应加大对地质灾害防治领域科学研究和技术创新的支持力度，加强对复杂山体成灾机理、灾害风险分析、灾害监测与治理技术对地质灾害影响评价等方面的研究。积极采用地理信息、全球定位、卫星通信、遥感遥测等先进技术手段，探索运用物联网等前沿技术，提升地质灾害调查评价、监测预警的精度和效率。</w:t>
      </w:r>
    </w:p>
    <w:p>
      <w:pPr>
        <w:pStyle w:val="6"/>
        <w:ind w:firstLine="643" w:firstLineChars="200"/>
        <w:rPr>
          <w:color w:val="auto"/>
        </w:rPr>
      </w:pPr>
      <w:bookmarkStart w:id="128" w:name="_Toc19906"/>
      <w:bookmarkStart w:id="129" w:name="_Toc55032233"/>
      <w:r>
        <w:rPr>
          <w:rFonts w:hint="eastAsia"/>
          <w:color w:val="auto"/>
        </w:rPr>
        <w:t>（五）加</w:t>
      </w:r>
      <w:r>
        <w:rPr>
          <w:color w:val="auto"/>
        </w:rPr>
        <w:t>强宣传培训</w:t>
      </w:r>
      <w:r>
        <w:rPr>
          <w:rFonts w:hint="eastAsia"/>
          <w:color w:val="auto"/>
        </w:rPr>
        <w:t>，提高防灾能力</w:t>
      </w:r>
      <w:bookmarkEnd w:id="128"/>
      <w:bookmarkEnd w:id="129"/>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广泛发动社会各方面力量积极参与地质灾害防治工作，搭建不同层次的地质灾害防治研究合作交流平台，加强地质灾害科研机构、大专院校与一线地质灾害防治机构的“产、学、研、用”一体化发展。充分发挥工会、共青团、妇联等人民团体在动员群众、宣传教育等方面带头作用，充分利用各种媒体和网络，广泛开展地质灾害基本知识、地质灾害防治法律、法规以及地质灾害防治方面知识的宣传。鼓励公民、法人和其它社会组织共同关心、支持地质灾害防治事业。各级地方政府应加强本辖区内地质灾害防灾知识的培训和演练，加强地质灾害防灾减灾宣传教育，普及地质灾害防治知识，全面提高地质灾害易发区基层群众自防自救能力。</w:t>
      </w:r>
    </w:p>
    <w:p>
      <w:pPr>
        <w:pStyle w:val="6"/>
        <w:ind w:firstLine="643" w:firstLineChars="200"/>
        <w:rPr>
          <w:color w:val="auto"/>
        </w:rPr>
      </w:pPr>
      <w:bookmarkStart w:id="130" w:name="_Toc501839029"/>
      <w:bookmarkStart w:id="131" w:name="_Toc55032234"/>
      <w:bookmarkStart w:id="132" w:name="_Toc15625"/>
      <w:r>
        <w:rPr>
          <w:rFonts w:hint="eastAsia"/>
          <w:color w:val="auto"/>
        </w:rPr>
        <w:t>（六）引进激励机制，用好奖惩措施</w:t>
      </w:r>
      <w:bookmarkEnd w:id="130"/>
      <w:bookmarkEnd w:id="131"/>
      <w:bookmarkEnd w:id="132"/>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对在地质灾害防治工作中识灾、报灾、防灾、抗灾、救灾等成绩显著的单位和个人，各级人民政府要给予表扬奖励；对工作不到位，失职渎职，造成重大人员伤亡和财产损失的，依法依规严肃追究相关责任人的责任。</w:t>
      </w:r>
    </w:p>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bookmarkStart w:id="133" w:name="_Toc30847"/>
      <w:r>
        <w:rPr>
          <w:rFonts w:hint="eastAsia" w:ascii="Arial" w:hAnsi="Arial"/>
          <w:b/>
          <w:color w:val="auto"/>
          <w:kern w:val="44"/>
          <w:sz w:val="36"/>
          <w:szCs w:val="30"/>
        </w:rPr>
        <w:t>与相关规划的衔接情况</w:t>
      </w:r>
      <w:bookmarkEnd w:id="133"/>
    </w:p>
    <w:p>
      <w:pPr>
        <w:pStyle w:val="6"/>
        <w:ind w:firstLine="643" w:firstLineChars="200"/>
        <w:rPr>
          <w:color w:val="auto"/>
        </w:rPr>
      </w:pPr>
      <w:bookmarkStart w:id="134" w:name="_Toc6424"/>
      <w:bookmarkStart w:id="135" w:name="_Toc1648"/>
      <w:r>
        <w:rPr>
          <w:color w:val="auto"/>
        </w:rPr>
        <w:t>（一）与</w:t>
      </w:r>
      <w:r>
        <w:rPr>
          <w:rFonts w:hint="eastAsia"/>
          <w:color w:val="auto"/>
        </w:rPr>
        <w:t>省级</w:t>
      </w:r>
      <w:r>
        <w:rPr>
          <w:rFonts w:hint="eastAsia"/>
          <w:color w:val="auto"/>
          <w:lang w:eastAsia="zh-CN"/>
        </w:rPr>
        <w:t>、</w:t>
      </w:r>
      <w:r>
        <w:rPr>
          <w:rFonts w:hint="eastAsia"/>
          <w:color w:val="auto"/>
          <w:lang w:val="en-US" w:eastAsia="zh-CN"/>
        </w:rPr>
        <w:t>市级</w:t>
      </w:r>
      <w:r>
        <w:rPr>
          <w:rFonts w:hint="eastAsia"/>
          <w:color w:val="auto"/>
        </w:rPr>
        <w:t>规划的</w:t>
      </w:r>
      <w:r>
        <w:rPr>
          <w:color w:val="auto"/>
        </w:rPr>
        <w:t>衔接</w:t>
      </w:r>
      <w:bookmarkEnd w:id="134"/>
      <w:bookmarkEnd w:id="135"/>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《安徽省地质灾害防治“十四五”规划（2021-2025年）》</w:t>
      </w:r>
      <w:r>
        <w:rPr>
          <w:rFonts w:hint="eastAsia" w:ascii="仿宋" w:hAnsi="仿宋" w:eastAsia="仿宋"/>
          <w:color w:val="auto"/>
          <w:sz w:val="30"/>
          <w:szCs w:val="30"/>
          <w:lang w:val="en-US" w:eastAsia="zh-CN"/>
        </w:rPr>
        <w:t>、</w:t>
      </w:r>
      <w:r>
        <w:rPr>
          <w:rFonts w:hint="eastAsia" w:ascii="仿宋" w:hAnsi="仿宋" w:eastAsia="仿宋"/>
          <w:color w:val="auto"/>
          <w:sz w:val="30"/>
          <w:szCs w:val="30"/>
        </w:rPr>
        <w:t>《</w:t>
      </w:r>
      <w:r>
        <w:rPr>
          <w:rFonts w:hint="eastAsia" w:ascii="仿宋" w:hAnsi="仿宋" w:eastAsia="仿宋"/>
          <w:color w:val="auto"/>
          <w:sz w:val="30"/>
          <w:szCs w:val="30"/>
          <w:lang w:val="en-US" w:eastAsia="zh-CN"/>
        </w:rPr>
        <w:t>池州市</w:t>
      </w:r>
      <w:r>
        <w:rPr>
          <w:rFonts w:hint="eastAsia" w:ascii="仿宋" w:hAnsi="仿宋" w:eastAsia="仿宋"/>
          <w:color w:val="auto"/>
          <w:sz w:val="30"/>
          <w:szCs w:val="30"/>
        </w:rPr>
        <w:t>地质灾害防治“十四五”规划（2021-2025年）》的起草目的及依据、主要内容、章节安排都给</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级规划提供了遵循。《规划》的前言、地质灾害现状与防治形势、指导思想、基本原则、任务设置都沿袭省级规划，并对省规划的地质灾害三查、风险调查评价、群测群防、网格化管理、避让搬迁、排危除险、工程治理等相关任务进行了细化分解。</w:t>
      </w:r>
    </w:p>
    <w:p>
      <w:pPr>
        <w:pStyle w:val="6"/>
        <w:ind w:firstLine="643" w:firstLineChars="200"/>
        <w:rPr>
          <w:color w:val="auto"/>
        </w:rPr>
      </w:pPr>
      <w:bookmarkStart w:id="136" w:name="_Toc23793"/>
      <w:bookmarkStart w:id="137" w:name="_Toc18193"/>
      <w:r>
        <w:rPr>
          <w:color w:val="auto"/>
        </w:rPr>
        <w:t>（二）与国民经济社会</w:t>
      </w:r>
      <w:r>
        <w:rPr>
          <w:rFonts w:hint="eastAsia"/>
          <w:color w:val="auto"/>
        </w:rPr>
        <w:t>发展</w:t>
      </w:r>
      <w:r>
        <w:rPr>
          <w:color w:val="auto"/>
        </w:rPr>
        <w:t>规划的衔接</w:t>
      </w:r>
      <w:bookmarkEnd w:id="136"/>
      <w:bookmarkEnd w:id="137"/>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全</w:t>
      </w:r>
      <w:r>
        <w:rPr>
          <w:rFonts w:hint="eastAsia" w:ascii="仿宋" w:hAnsi="仿宋" w:eastAsia="仿宋"/>
          <w:color w:val="auto"/>
          <w:sz w:val="30"/>
          <w:szCs w:val="30"/>
          <w:lang w:val="en-US" w:eastAsia="zh-CN"/>
        </w:rPr>
        <w:t>县</w:t>
      </w:r>
      <w:r>
        <w:rPr>
          <w:rFonts w:hint="eastAsia" w:ascii="仿宋" w:hAnsi="仿宋" w:eastAsia="仿宋"/>
          <w:color w:val="auto"/>
          <w:sz w:val="30"/>
          <w:szCs w:val="30"/>
        </w:rPr>
        <w:t>在十四五时期，全面贯彻党的基本理论、基本路线、基本方略，统筹推进“五位一体”总体布局，协调推进“四个全面”战略布局，科学把握新发展阶段，坚决贯彻新发展理念，积极融入新发展格局，坚持稳中求进工作总基调，以推动高质量发展为主题，以深化供给侧结构性改革为主线，以改革创新为根本动力，以满足人民群众日益增长的美好生活需要为根本目的，统筹发展和安全，持续实施五大发展行动计划，全面深度融入长三角一体化发展，加快建设现代化经济体系，推进治理体系和治理能力现代化，加快建设新阶段现代化“三优池州”，为全省强化“两个坚持”、实现“两个更大”贡献池州力量。</w:t>
      </w:r>
      <w:r>
        <w:rPr>
          <w:rFonts w:ascii="仿宋" w:hAnsi="仿宋" w:eastAsia="仿宋"/>
          <w:color w:val="auto"/>
          <w:sz w:val="30"/>
          <w:szCs w:val="30"/>
        </w:rPr>
        <w:t>本规划紧紧扣住</w:t>
      </w:r>
      <w:r>
        <w:rPr>
          <w:rFonts w:hint="eastAsia" w:ascii="仿宋" w:hAnsi="仿宋" w:eastAsia="仿宋"/>
          <w:color w:val="auto"/>
          <w:sz w:val="30"/>
          <w:szCs w:val="30"/>
        </w:rPr>
        <w:t>治理体系和治理能力现代化，保障人民群众生命财产安全，加强防灾减灾能力建设等</w:t>
      </w:r>
      <w:r>
        <w:rPr>
          <w:rFonts w:ascii="仿宋" w:hAnsi="仿宋" w:eastAsia="仿宋"/>
          <w:color w:val="auto"/>
          <w:sz w:val="30"/>
          <w:szCs w:val="30"/>
        </w:rPr>
        <w:t>，</w:t>
      </w:r>
      <w:r>
        <w:rPr>
          <w:rFonts w:hint="eastAsia" w:ascii="仿宋" w:hAnsi="仿宋" w:eastAsia="仿宋"/>
          <w:color w:val="auto"/>
          <w:sz w:val="30"/>
          <w:szCs w:val="30"/>
        </w:rPr>
        <w:t>部署工作任务。</w:t>
      </w:r>
    </w:p>
    <w:p>
      <w:pPr>
        <w:pStyle w:val="6"/>
        <w:ind w:firstLine="643" w:firstLineChars="200"/>
        <w:rPr>
          <w:color w:val="auto"/>
        </w:rPr>
      </w:pPr>
      <w:bookmarkStart w:id="138" w:name="_Toc31844"/>
      <w:bookmarkStart w:id="139" w:name="_Toc898"/>
      <w:r>
        <w:rPr>
          <w:color w:val="auto"/>
        </w:rPr>
        <w:t>（三）与</w:t>
      </w:r>
      <w:bookmarkEnd w:id="138"/>
      <w:bookmarkStart w:id="140" w:name="_Toc5057"/>
      <w:r>
        <w:rPr>
          <w:color w:val="auto"/>
        </w:rPr>
        <w:t>其它行业规划的衔接</w:t>
      </w:r>
      <w:bookmarkEnd w:id="139"/>
      <w:bookmarkEnd w:id="140"/>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ascii="仿宋" w:hAnsi="仿宋" w:eastAsia="仿宋"/>
          <w:color w:val="auto"/>
          <w:sz w:val="30"/>
          <w:szCs w:val="30"/>
        </w:rPr>
        <w:t>本规划在编制过程中，充分收集了水利、地震等部门资料，</w:t>
      </w:r>
      <w:r>
        <w:rPr>
          <w:rFonts w:hint="eastAsia" w:ascii="仿宋" w:hAnsi="仿宋" w:eastAsia="仿宋"/>
          <w:color w:val="auto"/>
          <w:sz w:val="30"/>
          <w:szCs w:val="30"/>
        </w:rPr>
        <w:t>突出建设工程、旅游开发、城镇规划等人类经济活动影响下，地质灾害防范和生命财产保障</w:t>
      </w:r>
      <w:r>
        <w:rPr>
          <w:rFonts w:ascii="仿宋" w:hAnsi="仿宋" w:eastAsia="仿宋"/>
          <w:color w:val="auto"/>
          <w:sz w:val="30"/>
          <w:szCs w:val="30"/>
        </w:rPr>
        <w:t>。</w:t>
      </w:r>
      <w:r>
        <w:rPr>
          <w:rFonts w:hint="eastAsia" w:ascii="仿宋" w:hAnsi="仿宋" w:eastAsia="仿宋"/>
          <w:color w:val="auto"/>
          <w:sz w:val="30"/>
          <w:szCs w:val="30"/>
        </w:rPr>
        <w:t>并提出：各级发展改革、教育、科技、工业和信息化、民政、财政、住建、交通、水利、旅游等部门按照职责分工，做好相关领域和行业地质灾害防御行动方案的落实。大力推进地质灾害网格化管理建设，将基层地质灾害监测责任和防治责任落实到位。</w:t>
      </w:r>
    </w:p>
    <w:p>
      <w:pPr>
        <w:numPr>
          <w:ilvl w:val="0"/>
          <w:numId w:val="1"/>
        </w:numPr>
        <w:adjustRightInd w:val="0"/>
        <w:snapToGrid w:val="0"/>
        <w:spacing w:line="520" w:lineRule="exact"/>
        <w:ind w:left="0" w:leftChars="0" w:firstLine="723" w:firstLineChars="200"/>
        <w:outlineLvl w:val="0"/>
        <w:rPr>
          <w:rFonts w:hint="eastAsia" w:ascii="Arial" w:hAnsi="Arial"/>
          <w:b/>
          <w:color w:val="auto"/>
          <w:kern w:val="44"/>
          <w:sz w:val="36"/>
          <w:szCs w:val="30"/>
        </w:rPr>
      </w:pPr>
      <w:bookmarkStart w:id="141" w:name="_Toc23071"/>
      <w:r>
        <w:rPr>
          <w:rFonts w:hint="eastAsia" w:ascii="Arial" w:hAnsi="Arial"/>
          <w:b/>
          <w:color w:val="auto"/>
          <w:kern w:val="44"/>
          <w:sz w:val="36"/>
          <w:szCs w:val="30"/>
        </w:rPr>
        <w:t>相关部门意见征求反馈情况</w:t>
      </w:r>
      <w:bookmarkEnd w:id="99"/>
      <w:bookmarkEnd w:id="100"/>
      <w:bookmarkEnd w:id="101"/>
      <w:bookmarkEnd w:id="141"/>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default" w:ascii="仿宋" w:hAnsi="仿宋" w:eastAsia="仿宋"/>
          <w:color w:val="auto"/>
          <w:sz w:val="30"/>
          <w:szCs w:val="30"/>
          <w:lang w:val="en-US" w:eastAsia="zh-CN"/>
        </w:rPr>
      </w:pPr>
      <w:bookmarkStart w:id="142" w:name="_Toc263922952"/>
      <w:bookmarkStart w:id="143" w:name="_Toc263923361"/>
      <w:r>
        <w:rPr>
          <w:rFonts w:hint="eastAsia" w:ascii="仿宋" w:hAnsi="仿宋" w:eastAsia="仿宋"/>
          <w:color w:val="auto"/>
          <w:sz w:val="30"/>
          <w:szCs w:val="30"/>
        </w:rPr>
        <w:t>2</w:t>
      </w:r>
      <w:r>
        <w:rPr>
          <w:rFonts w:ascii="仿宋" w:hAnsi="仿宋" w:eastAsia="仿宋"/>
          <w:color w:val="auto"/>
          <w:sz w:val="30"/>
          <w:szCs w:val="30"/>
        </w:rPr>
        <w:t>0</w:t>
      </w:r>
      <w:r>
        <w:rPr>
          <w:rFonts w:hint="eastAsia" w:ascii="仿宋" w:hAnsi="仿宋" w:eastAsia="仿宋"/>
          <w:color w:val="auto"/>
          <w:sz w:val="30"/>
          <w:szCs w:val="30"/>
        </w:rPr>
        <w:t>2</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年11月</w:t>
      </w:r>
      <w:r>
        <w:rPr>
          <w:rFonts w:hint="eastAsia" w:ascii="仿宋" w:hAnsi="仿宋" w:eastAsia="仿宋"/>
          <w:color w:val="auto"/>
          <w:sz w:val="30"/>
          <w:szCs w:val="30"/>
          <w:lang w:val="en-US" w:eastAsia="zh-CN"/>
        </w:rPr>
        <w:t>25日</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自然资源和规划局印发“关于《</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地质灾害防治“十四五”规划（2021-2025）》征求意见的函”（</w:t>
      </w:r>
      <w:r>
        <w:rPr>
          <w:rFonts w:hint="eastAsia" w:ascii="仿宋" w:hAnsi="仿宋" w:eastAsia="仿宋"/>
          <w:color w:val="auto"/>
          <w:sz w:val="30"/>
          <w:szCs w:val="30"/>
          <w:lang w:val="en-US" w:eastAsia="zh-CN"/>
        </w:rPr>
        <w:t>东</w:t>
      </w:r>
      <w:r>
        <w:rPr>
          <w:rFonts w:hint="eastAsia" w:ascii="仿宋" w:hAnsi="仿宋" w:eastAsia="仿宋"/>
          <w:color w:val="auto"/>
          <w:sz w:val="30"/>
          <w:szCs w:val="30"/>
        </w:rPr>
        <w:t>自然资规函〔</w:t>
      </w:r>
      <w:r>
        <w:rPr>
          <w:rFonts w:ascii="仿宋" w:hAnsi="仿宋" w:eastAsia="仿宋"/>
          <w:color w:val="auto"/>
          <w:sz w:val="30"/>
          <w:szCs w:val="30"/>
        </w:rPr>
        <w:t>202</w:t>
      </w:r>
      <w:r>
        <w:rPr>
          <w:rFonts w:hint="eastAsia" w:ascii="仿宋" w:hAnsi="仿宋" w:eastAsia="仿宋"/>
          <w:color w:val="auto"/>
          <w:sz w:val="30"/>
          <w:szCs w:val="30"/>
          <w:lang w:val="en-US" w:eastAsia="zh-CN"/>
        </w:rPr>
        <w:t>2</w:t>
      </w:r>
      <w:r>
        <w:rPr>
          <w:rFonts w:hint="eastAsia" w:ascii="仿宋" w:hAnsi="仿宋" w:eastAsia="仿宋"/>
          <w:color w:val="auto"/>
          <w:sz w:val="30"/>
          <w:szCs w:val="30"/>
        </w:rPr>
        <w:t>〕</w:t>
      </w:r>
      <w:r>
        <w:rPr>
          <w:rFonts w:ascii="仿宋" w:hAnsi="仿宋" w:eastAsia="仿宋"/>
          <w:color w:val="auto"/>
          <w:sz w:val="30"/>
          <w:szCs w:val="30"/>
        </w:rPr>
        <w:t>4</w:t>
      </w:r>
      <w:r>
        <w:rPr>
          <w:rFonts w:hint="eastAsia" w:ascii="仿宋" w:hAnsi="仿宋" w:eastAsia="仿宋"/>
          <w:color w:val="auto"/>
          <w:sz w:val="30"/>
          <w:szCs w:val="30"/>
          <w:lang w:val="en-US" w:eastAsia="zh-CN"/>
        </w:rPr>
        <w:t>68</w:t>
      </w:r>
      <w:r>
        <w:rPr>
          <w:rFonts w:hint="eastAsia" w:ascii="仿宋" w:hAnsi="仿宋" w:eastAsia="仿宋"/>
          <w:color w:val="auto"/>
          <w:sz w:val="30"/>
          <w:szCs w:val="30"/>
        </w:rPr>
        <w:t>号，附件</w:t>
      </w:r>
      <w:r>
        <w:rPr>
          <w:rFonts w:hint="eastAsia" w:ascii="仿宋" w:hAnsi="仿宋" w:eastAsia="仿宋"/>
          <w:color w:val="auto"/>
          <w:sz w:val="30"/>
          <w:szCs w:val="30"/>
          <w:lang w:val="en-US" w:eastAsia="zh-CN"/>
        </w:rPr>
        <w:t>一</w:t>
      </w:r>
      <w:r>
        <w:rPr>
          <w:rFonts w:hint="eastAsia" w:ascii="仿宋" w:hAnsi="仿宋" w:eastAsia="仿宋"/>
          <w:color w:val="auto"/>
          <w:sz w:val="30"/>
          <w:szCs w:val="30"/>
        </w:rPr>
        <w:t>），向各</w:t>
      </w:r>
      <w:r>
        <w:rPr>
          <w:rFonts w:hint="eastAsia" w:ascii="仿宋" w:hAnsi="仿宋" w:eastAsia="仿宋"/>
          <w:color w:val="auto"/>
          <w:sz w:val="30"/>
          <w:szCs w:val="30"/>
          <w:lang w:val="en-US" w:eastAsia="zh-CN"/>
        </w:rPr>
        <w:t>乡、镇</w:t>
      </w:r>
      <w:r>
        <w:rPr>
          <w:rFonts w:hint="eastAsia" w:ascii="仿宋" w:hAnsi="仿宋" w:eastAsia="仿宋"/>
          <w:color w:val="auto"/>
          <w:sz w:val="30"/>
          <w:szCs w:val="30"/>
        </w:rPr>
        <w:t>人民政府，</w:t>
      </w:r>
      <w:r>
        <w:rPr>
          <w:rFonts w:hint="eastAsia" w:ascii="仿宋" w:hAnsi="仿宋" w:eastAsia="仿宋"/>
          <w:color w:val="auto"/>
          <w:sz w:val="30"/>
          <w:szCs w:val="30"/>
          <w:lang w:val="en-US" w:eastAsia="zh-CN"/>
        </w:rPr>
        <w:t>县直有关</w:t>
      </w:r>
      <w:r>
        <w:rPr>
          <w:rFonts w:hint="eastAsia" w:ascii="仿宋" w:hAnsi="仿宋" w:eastAsia="仿宋"/>
          <w:color w:val="auto"/>
          <w:sz w:val="30"/>
          <w:szCs w:val="30"/>
        </w:rPr>
        <w:t>单位征求意见。</w:t>
      </w:r>
      <w:r>
        <w:rPr>
          <w:rFonts w:hint="eastAsia" w:ascii="仿宋" w:hAnsi="仿宋" w:eastAsia="仿宋"/>
          <w:color w:val="auto"/>
          <w:sz w:val="30"/>
          <w:szCs w:val="30"/>
          <w:lang w:val="en-US" w:eastAsia="zh-CN"/>
        </w:rPr>
        <w:t>在规定时间内，无单位反馈意见。</w:t>
      </w:r>
    </w:p>
    <w:p>
      <w:pPr>
        <w:keepNext w:val="0"/>
        <w:keepLines w:val="0"/>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ascii="仿宋" w:hAnsi="仿宋" w:eastAsia="仿宋"/>
          <w:color w:val="auto"/>
          <w:sz w:val="30"/>
          <w:szCs w:val="30"/>
        </w:rPr>
      </w:pPr>
      <w:r>
        <w:rPr>
          <w:rFonts w:hint="eastAsia" w:ascii="仿宋" w:hAnsi="仿宋" w:eastAsia="仿宋"/>
          <w:color w:val="auto"/>
          <w:sz w:val="30"/>
          <w:szCs w:val="30"/>
        </w:rPr>
        <w:t>2</w:t>
      </w:r>
      <w:r>
        <w:rPr>
          <w:rFonts w:ascii="仿宋" w:hAnsi="仿宋" w:eastAsia="仿宋"/>
          <w:color w:val="auto"/>
          <w:sz w:val="30"/>
          <w:szCs w:val="30"/>
        </w:rPr>
        <w:t>0</w:t>
      </w:r>
      <w:r>
        <w:rPr>
          <w:rFonts w:hint="eastAsia" w:ascii="仿宋" w:hAnsi="仿宋" w:eastAsia="仿宋"/>
          <w:color w:val="auto"/>
          <w:sz w:val="30"/>
          <w:szCs w:val="30"/>
        </w:rPr>
        <w:t>2</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年</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月</w:t>
      </w:r>
      <w:r>
        <w:rPr>
          <w:rFonts w:hint="eastAsia" w:ascii="仿宋" w:hAnsi="仿宋" w:eastAsia="仿宋"/>
          <w:color w:val="auto"/>
          <w:sz w:val="30"/>
          <w:szCs w:val="30"/>
          <w:lang w:val="en-US" w:eastAsia="zh-CN"/>
        </w:rPr>
        <w:t>1日</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自然资源和规划局印发“关于</w:t>
      </w:r>
      <w:r>
        <w:rPr>
          <w:rFonts w:hint="eastAsia" w:ascii="仿宋" w:hAnsi="仿宋" w:eastAsia="仿宋"/>
          <w:color w:val="auto"/>
          <w:sz w:val="30"/>
          <w:szCs w:val="30"/>
          <w:lang w:val="en-US" w:eastAsia="zh-CN"/>
        </w:rPr>
        <w:t>再次征求</w:t>
      </w:r>
      <w:r>
        <w:rPr>
          <w:rFonts w:hint="eastAsia" w:ascii="仿宋" w:hAnsi="仿宋" w:eastAsia="仿宋"/>
          <w:color w:val="auto"/>
          <w:sz w:val="30"/>
          <w:szCs w:val="30"/>
        </w:rPr>
        <w:t>《</w:t>
      </w:r>
      <w:r>
        <w:rPr>
          <w:rFonts w:hint="eastAsia" w:ascii="仿宋" w:hAnsi="仿宋" w:eastAsia="仿宋"/>
          <w:color w:val="auto"/>
          <w:sz w:val="30"/>
          <w:szCs w:val="30"/>
          <w:lang w:val="en-US" w:eastAsia="zh-CN"/>
        </w:rPr>
        <w:t>东至县</w:t>
      </w:r>
      <w:r>
        <w:rPr>
          <w:rFonts w:hint="eastAsia" w:ascii="仿宋" w:hAnsi="仿宋" w:eastAsia="仿宋"/>
          <w:color w:val="auto"/>
          <w:sz w:val="30"/>
          <w:szCs w:val="30"/>
        </w:rPr>
        <w:t>地质灾害</w:t>
      </w:r>
      <w:r>
        <w:rPr>
          <w:rFonts w:hint="eastAsia" w:ascii="仿宋" w:hAnsi="仿宋" w:eastAsia="仿宋"/>
          <w:color w:val="auto"/>
          <w:sz w:val="30"/>
          <w:szCs w:val="30"/>
          <w:lang w:val="en-US" w:eastAsia="zh-CN"/>
        </w:rPr>
        <w:t>防治</w:t>
      </w:r>
      <w:r>
        <w:rPr>
          <w:rFonts w:hint="eastAsia" w:ascii="仿宋" w:hAnsi="仿宋" w:eastAsia="仿宋"/>
          <w:color w:val="auto"/>
          <w:sz w:val="30"/>
          <w:szCs w:val="30"/>
        </w:rPr>
        <w:t>“十四五”规划（2021-2025）》</w:t>
      </w:r>
      <w:r>
        <w:rPr>
          <w:rFonts w:hint="eastAsia" w:ascii="仿宋" w:hAnsi="仿宋" w:eastAsia="仿宋"/>
          <w:color w:val="auto"/>
          <w:sz w:val="30"/>
          <w:szCs w:val="30"/>
          <w:lang w:eastAsia="zh-CN"/>
        </w:rPr>
        <w:t>（</w:t>
      </w:r>
      <w:r>
        <w:rPr>
          <w:rFonts w:hint="eastAsia" w:ascii="仿宋" w:hAnsi="仿宋" w:eastAsia="仿宋"/>
          <w:color w:val="auto"/>
          <w:sz w:val="30"/>
          <w:szCs w:val="30"/>
        </w:rPr>
        <w:t>征求意见稿</w:t>
      </w:r>
      <w:r>
        <w:rPr>
          <w:rFonts w:hint="eastAsia" w:ascii="仿宋" w:hAnsi="仿宋" w:eastAsia="仿宋"/>
          <w:color w:val="auto"/>
          <w:sz w:val="30"/>
          <w:szCs w:val="30"/>
          <w:lang w:eastAsia="zh-CN"/>
        </w:rPr>
        <w:t>）</w:t>
      </w:r>
      <w:r>
        <w:rPr>
          <w:rFonts w:hint="eastAsia" w:ascii="仿宋" w:hAnsi="仿宋" w:eastAsia="仿宋"/>
          <w:color w:val="auto"/>
          <w:sz w:val="30"/>
          <w:szCs w:val="30"/>
        </w:rPr>
        <w:t>意见的函”（</w:t>
      </w:r>
      <w:r>
        <w:rPr>
          <w:rFonts w:hint="eastAsia" w:ascii="仿宋" w:hAnsi="仿宋" w:eastAsia="仿宋"/>
          <w:color w:val="auto"/>
          <w:sz w:val="30"/>
          <w:szCs w:val="30"/>
          <w:lang w:val="en-US" w:eastAsia="zh-CN"/>
        </w:rPr>
        <w:t>东</w:t>
      </w:r>
      <w:r>
        <w:rPr>
          <w:rFonts w:hint="eastAsia" w:ascii="仿宋" w:hAnsi="仿宋" w:eastAsia="仿宋"/>
          <w:color w:val="auto"/>
          <w:sz w:val="30"/>
          <w:szCs w:val="30"/>
        </w:rPr>
        <w:t>自然资规函〔</w:t>
      </w:r>
      <w:r>
        <w:rPr>
          <w:rFonts w:ascii="仿宋" w:hAnsi="仿宋" w:eastAsia="仿宋"/>
          <w:color w:val="auto"/>
          <w:sz w:val="30"/>
          <w:szCs w:val="30"/>
        </w:rPr>
        <w:t>202</w:t>
      </w:r>
      <w:r>
        <w:rPr>
          <w:rFonts w:hint="eastAsia" w:ascii="仿宋" w:hAnsi="仿宋" w:eastAsia="仿宋"/>
          <w:color w:val="auto"/>
          <w:sz w:val="30"/>
          <w:szCs w:val="30"/>
          <w:lang w:val="en-US" w:eastAsia="zh-CN"/>
        </w:rPr>
        <w:t>3</w:t>
      </w:r>
      <w:r>
        <w:rPr>
          <w:rFonts w:hint="eastAsia" w:ascii="仿宋" w:hAnsi="仿宋" w:eastAsia="仿宋"/>
          <w:color w:val="auto"/>
          <w:sz w:val="30"/>
          <w:szCs w:val="30"/>
        </w:rPr>
        <w:t>〕</w:t>
      </w:r>
      <w:r>
        <w:rPr>
          <w:rFonts w:hint="eastAsia" w:ascii="仿宋" w:hAnsi="仿宋" w:eastAsia="仿宋"/>
          <w:color w:val="auto"/>
          <w:sz w:val="30"/>
          <w:szCs w:val="30"/>
          <w:lang w:val="en-US" w:eastAsia="zh-CN"/>
        </w:rPr>
        <w:t>50</w:t>
      </w:r>
      <w:r>
        <w:rPr>
          <w:rFonts w:hint="eastAsia" w:ascii="仿宋" w:hAnsi="仿宋" w:eastAsia="仿宋"/>
          <w:color w:val="auto"/>
          <w:sz w:val="30"/>
          <w:szCs w:val="30"/>
        </w:rPr>
        <w:t>号，附件</w:t>
      </w:r>
      <w:r>
        <w:rPr>
          <w:rFonts w:hint="eastAsia" w:ascii="仿宋" w:hAnsi="仿宋" w:eastAsia="仿宋"/>
          <w:color w:val="auto"/>
          <w:sz w:val="30"/>
          <w:szCs w:val="30"/>
          <w:lang w:val="en-US" w:eastAsia="zh-CN"/>
        </w:rPr>
        <w:t>二</w:t>
      </w:r>
      <w:r>
        <w:rPr>
          <w:rFonts w:hint="eastAsia" w:ascii="仿宋" w:hAnsi="仿宋" w:eastAsia="仿宋"/>
          <w:color w:val="auto"/>
          <w:sz w:val="30"/>
          <w:szCs w:val="30"/>
        </w:rPr>
        <w:t>），</w:t>
      </w:r>
      <w:r>
        <w:rPr>
          <w:rFonts w:hint="eastAsia" w:ascii="仿宋" w:hAnsi="仿宋" w:eastAsia="仿宋"/>
          <w:color w:val="auto"/>
          <w:sz w:val="30"/>
          <w:szCs w:val="30"/>
          <w:lang w:val="en-US" w:eastAsia="zh-CN"/>
        </w:rPr>
        <w:t>第二次</w:t>
      </w:r>
      <w:r>
        <w:rPr>
          <w:rFonts w:hint="eastAsia" w:ascii="仿宋" w:hAnsi="仿宋" w:eastAsia="仿宋"/>
          <w:color w:val="auto"/>
          <w:sz w:val="30"/>
          <w:szCs w:val="30"/>
        </w:rPr>
        <w:t>向各</w:t>
      </w:r>
      <w:r>
        <w:rPr>
          <w:rFonts w:hint="eastAsia" w:ascii="仿宋" w:hAnsi="仿宋" w:eastAsia="仿宋"/>
          <w:color w:val="auto"/>
          <w:sz w:val="30"/>
          <w:szCs w:val="30"/>
          <w:lang w:val="en-US" w:eastAsia="zh-CN"/>
        </w:rPr>
        <w:t>乡、镇</w:t>
      </w:r>
      <w:r>
        <w:rPr>
          <w:rFonts w:hint="eastAsia" w:ascii="仿宋" w:hAnsi="仿宋" w:eastAsia="仿宋"/>
          <w:color w:val="auto"/>
          <w:sz w:val="30"/>
          <w:szCs w:val="30"/>
        </w:rPr>
        <w:t>人民政府，</w:t>
      </w:r>
      <w:r>
        <w:rPr>
          <w:rFonts w:hint="eastAsia" w:ascii="仿宋" w:hAnsi="仿宋" w:eastAsia="仿宋"/>
          <w:color w:val="auto"/>
          <w:sz w:val="30"/>
          <w:szCs w:val="30"/>
          <w:lang w:val="en-US" w:eastAsia="zh-CN"/>
        </w:rPr>
        <w:t>县直有关</w:t>
      </w:r>
      <w:r>
        <w:rPr>
          <w:rFonts w:hint="eastAsia" w:ascii="仿宋" w:hAnsi="仿宋" w:eastAsia="仿宋"/>
          <w:color w:val="auto"/>
          <w:sz w:val="30"/>
          <w:szCs w:val="30"/>
        </w:rPr>
        <w:t>单位征求意见。</w:t>
      </w:r>
      <w:r>
        <w:rPr>
          <w:rFonts w:hint="eastAsia" w:ascii="仿宋" w:hAnsi="仿宋" w:eastAsia="仿宋"/>
          <w:color w:val="auto"/>
          <w:sz w:val="30"/>
          <w:szCs w:val="30"/>
          <w:lang w:val="en-US" w:eastAsia="zh-CN"/>
        </w:rPr>
        <w:t>在规定时间内，有21家单位进行了反馈，均为无意见。</w:t>
      </w:r>
      <w:r>
        <w:rPr>
          <w:rFonts w:hint="eastAsia" w:ascii="仿宋" w:hAnsi="仿宋" w:eastAsia="仿宋"/>
          <w:color w:val="auto"/>
          <w:sz w:val="30"/>
          <w:szCs w:val="30"/>
        </w:rPr>
        <w:t>相关意见汇总情况见表12</w:t>
      </w:r>
      <w:r>
        <w:rPr>
          <w:rFonts w:ascii="仿宋" w:hAnsi="仿宋" w:eastAsia="仿宋"/>
          <w:color w:val="auto"/>
          <w:sz w:val="30"/>
          <w:szCs w:val="30"/>
        </w:rPr>
        <w:t>-1</w:t>
      </w:r>
      <w:r>
        <w:rPr>
          <w:rFonts w:hint="eastAsia" w:ascii="仿宋" w:hAnsi="仿宋" w:eastAsia="仿宋"/>
          <w:color w:val="auto"/>
          <w:sz w:val="30"/>
          <w:szCs w:val="30"/>
        </w:rPr>
        <w:t>。</w:t>
      </w:r>
    </w:p>
    <w:bookmarkEnd w:id="142"/>
    <w:bookmarkEnd w:id="143"/>
    <w:p>
      <w:pPr>
        <w:pStyle w:val="2"/>
        <w:spacing w:line="240" w:lineRule="auto"/>
        <w:rPr>
          <w:rFonts w:hint="eastAsia" w:eastAsia="仿宋"/>
          <w:color w:val="auto"/>
          <w:lang w:eastAsia="zh-CN"/>
        </w:rPr>
        <w:sectPr>
          <w:footerReference r:id="rId14" w:type="default"/>
          <w:pgSz w:w="11907" w:h="16840"/>
          <w:pgMar w:top="1588" w:right="1361" w:bottom="1247"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ind w:firstLine="562" w:firstLineChars="200"/>
        <w:jc w:val="center"/>
        <w:rPr>
          <w:b/>
          <w:bCs/>
          <w:color w:val="auto"/>
          <w:sz w:val="28"/>
          <w:szCs w:val="28"/>
        </w:rPr>
      </w:pPr>
      <w:r>
        <w:rPr>
          <w:rFonts w:hint="eastAsia"/>
          <w:b/>
          <w:bCs/>
          <w:color w:val="auto"/>
          <w:sz w:val="28"/>
          <w:szCs w:val="28"/>
        </w:rPr>
        <w:t>表12</w:t>
      </w:r>
      <w:r>
        <w:rPr>
          <w:b/>
          <w:bCs/>
          <w:color w:val="auto"/>
          <w:sz w:val="28"/>
          <w:szCs w:val="28"/>
        </w:rPr>
        <w:t xml:space="preserve">-1 </w:t>
      </w:r>
      <w:r>
        <w:rPr>
          <w:rFonts w:hint="eastAsia"/>
          <w:b/>
          <w:bCs/>
          <w:color w:val="auto"/>
          <w:sz w:val="28"/>
          <w:szCs w:val="28"/>
        </w:rPr>
        <w:t>征求意见修改说明表</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4070"/>
        <w:gridCol w:w="3394"/>
        <w:gridCol w:w="1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537" w:type="pct"/>
            <w:vAlign w:val="center"/>
          </w:tcPr>
          <w:p>
            <w:pPr>
              <w:jc w:val="center"/>
              <w:rPr>
                <w:color w:val="auto"/>
                <w:szCs w:val="21"/>
              </w:rPr>
            </w:pPr>
            <w:r>
              <w:rPr>
                <w:rFonts w:hint="eastAsia"/>
                <w:color w:val="auto"/>
                <w:szCs w:val="21"/>
              </w:rPr>
              <w:t>序号</w:t>
            </w:r>
          </w:p>
        </w:tc>
        <w:tc>
          <w:tcPr>
            <w:tcW w:w="2139" w:type="pct"/>
            <w:vAlign w:val="center"/>
          </w:tcPr>
          <w:p>
            <w:pPr>
              <w:jc w:val="center"/>
              <w:rPr>
                <w:color w:val="auto"/>
                <w:szCs w:val="21"/>
              </w:rPr>
            </w:pPr>
            <w:r>
              <w:rPr>
                <w:rFonts w:hint="eastAsia"/>
                <w:color w:val="auto"/>
                <w:szCs w:val="21"/>
              </w:rPr>
              <w:t>单位名称</w:t>
            </w:r>
          </w:p>
        </w:tc>
        <w:tc>
          <w:tcPr>
            <w:tcW w:w="1784" w:type="pct"/>
            <w:vAlign w:val="center"/>
          </w:tcPr>
          <w:p>
            <w:pPr>
              <w:jc w:val="center"/>
              <w:rPr>
                <w:color w:val="auto"/>
                <w:szCs w:val="21"/>
              </w:rPr>
            </w:pPr>
            <w:r>
              <w:rPr>
                <w:rFonts w:hint="eastAsia"/>
                <w:color w:val="auto"/>
                <w:szCs w:val="21"/>
              </w:rPr>
              <w:t>第</w:t>
            </w:r>
            <w:r>
              <w:rPr>
                <w:rFonts w:hint="eastAsia"/>
                <w:color w:val="auto"/>
                <w:szCs w:val="21"/>
                <w:lang w:val="en-US" w:eastAsia="zh-CN"/>
              </w:rPr>
              <w:t>二</w:t>
            </w:r>
            <w:r>
              <w:rPr>
                <w:rFonts w:hint="eastAsia"/>
                <w:color w:val="auto"/>
                <w:szCs w:val="21"/>
              </w:rPr>
              <w:t>次征求意见建议</w:t>
            </w:r>
          </w:p>
        </w:tc>
        <w:tc>
          <w:tcPr>
            <w:tcW w:w="538" w:type="pct"/>
            <w:vAlign w:val="center"/>
          </w:tcPr>
          <w:p>
            <w:pPr>
              <w:jc w:val="center"/>
              <w:rPr>
                <w:color w:val="auto"/>
                <w:szCs w:val="21"/>
              </w:rPr>
            </w:pPr>
            <w:r>
              <w:rPr>
                <w:rFonts w:hint="eastAsia"/>
                <w:color w:val="auto"/>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1</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东至县葛公镇人民政府</w:t>
            </w:r>
          </w:p>
        </w:tc>
        <w:tc>
          <w:tcPr>
            <w:tcW w:w="1784" w:type="pct"/>
            <w:vAlign w:val="center"/>
          </w:tcPr>
          <w:p>
            <w:pPr>
              <w:jc w:val="center"/>
              <w:rPr>
                <w:rFonts w:hint="eastAsia" w:eastAsia="宋体"/>
                <w:color w:val="auto"/>
                <w:szCs w:val="21"/>
                <w:lang w:eastAsia="zh-CN"/>
              </w:rPr>
            </w:pPr>
            <w:r>
              <w:rPr>
                <w:rFonts w:hint="eastAsia"/>
                <w:color w:val="auto"/>
                <w:szCs w:val="21"/>
                <w:lang w:val="en-US" w:eastAsia="zh-CN"/>
              </w:rPr>
              <w:t>无意见</w:t>
            </w:r>
          </w:p>
        </w:tc>
        <w:tc>
          <w:tcPr>
            <w:tcW w:w="538" w:type="pct"/>
            <w:vAlign w:val="center"/>
          </w:tcPr>
          <w:p>
            <w:pPr>
              <w:jc w:val="center"/>
              <w:rPr>
                <w:color w:val="auto"/>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2</w:t>
            </w:r>
          </w:p>
        </w:tc>
        <w:tc>
          <w:tcPr>
            <w:tcW w:w="2139" w:type="pct"/>
            <w:vAlign w:val="center"/>
          </w:tcPr>
          <w:p>
            <w:pPr>
              <w:jc w:val="center"/>
              <w:rPr>
                <w:color w:val="auto"/>
                <w:szCs w:val="21"/>
              </w:rPr>
            </w:pPr>
            <w:r>
              <w:rPr>
                <w:rFonts w:hint="eastAsia"/>
                <w:color w:val="auto"/>
                <w:szCs w:val="21"/>
                <w:lang w:val="en-US" w:eastAsia="zh-CN"/>
              </w:rPr>
              <w:t>东至县花园乡人民政府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pStyle w:val="29"/>
              <w:spacing w:after="0"/>
              <w:ind w:left="0" w:leftChars="0"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3</w:t>
            </w:r>
          </w:p>
        </w:tc>
        <w:tc>
          <w:tcPr>
            <w:tcW w:w="2139" w:type="pct"/>
            <w:vAlign w:val="center"/>
          </w:tcPr>
          <w:p>
            <w:pPr>
              <w:jc w:val="center"/>
              <w:rPr>
                <w:color w:val="auto"/>
                <w:szCs w:val="21"/>
              </w:rPr>
            </w:pPr>
            <w:r>
              <w:rPr>
                <w:rFonts w:hint="eastAsia"/>
                <w:color w:val="auto"/>
                <w:szCs w:val="21"/>
                <w:lang w:val="en-US" w:eastAsia="zh-CN"/>
              </w:rPr>
              <w:t>东至县龙泉镇人民政府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pStyle w:val="29"/>
              <w:spacing w:after="0"/>
              <w:ind w:left="0" w:leftChars="0" w:firstLine="0" w:firstLineChars="0"/>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4</w:t>
            </w:r>
          </w:p>
        </w:tc>
        <w:tc>
          <w:tcPr>
            <w:tcW w:w="2139" w:type="pct"/>
            <w:vAlign w:val="center"/>
          </w:tcPr>
          <w:p>
            <w:pPr>
              <w:jc w:val="center"/>
              <w:rPr>
                <w:color w:val="auto"/>
                <w:szCs w:val="21"/>
              </w:rPr>
            </w:pPr>
            <w:r>
              <w:rPr>
                <w:rFonts w:hint="eastAsia"/>
                <w:color w:val="auto"/>
                <w:szCs w:val="21"/>
                <w:lang w:val="en-US" w:eastAsia="zh-CN"/>
              </w:rPr>
              <w:t>东至县木塔乡人民政府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5</w:t>
            </w:r>
          </w:p>
        </w:tc>
        <w:tc>
          <w:tcPr>
            <w:tcW w:w="2139" w:type="pct"/>
            <w:vAlign w:val="center"/>
          </w:tcPr>
          <w:p>
            <w:pPr>
              <w:jc w:val="center"/>
              <w:rPr>
                <w:color w:val="auto"/>
                <w:szCs w:val="21"/>
              </w:rPr>
            </w:pPr>
            <w:r>
              <w:rPr>
                <w:rFonts w:hint="eastAsia"/>
                <w:color w:val="auto"/>
                <w:szCs w:val="21"/>
                <w:lang w:val="en-US" w:eastAsia="zh-CN"/>
              </w:rPr>
              <w:t>东至县青山乡人民政府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6</w:t>
            </w:r>
          </w:p>
        </w:tc>
        <w:tc>
          <w:tcPr>
            <w:tcW w:w="2139" w:type="pct"/>
            <w:vAlign w:val="center"/>
          </w:tcPr>
          <w:p>
            <w:pPr>
              <w:jc w:val="center"/>
              <w:rPr>
                <w:color w:val="auto"/>
                <w:szCs w:val="21"/>
              </w:rPr>
            </w:pPr>
            <w:r>
              <w:rPr>
                <w:rFonts w:hint="eastAsia"/>
                <w:color w:val="auto"/>
                <w:szCs w:val="21"/>
                <w:lang w:val="en-US" w:eastAsia="zh-CN"/>
              </w:rPr>
              <w:t>东至县昭潭镇人民政府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7</w:t>
            </w:r>
          </w:p>
        </w:tc>
        <w:tc>
          <w:tcPr>
            <w:tcW w:w="2139" w:type="pct"/>
            <w:vAlign w:val="center"/>
          </w:tcPr>
          <w:p>
            <w:pPr>
              <w:jc w:val="center"/>
              <w:rPr>
                <w:color w:val="auto"/>
                <w:szCs w:val="21"/>
              </w:rPr>
            </w:pPr>
            <w:r>
              <w:rPr>
                <w:rFonts w:hint="eastAsia"/>
                <w:color w:val="auto"/>
                <w:szCs w:val="21"/>
                <w:lang w:val="en-US" w:eastAsia="zh-CN"/>
              </w:rPr>
              <w:t>东至县香隅镇人民政府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8</w:t>
            </w:r>
          </w:p>
        </w:tc>
        <w:tc>
          <w:tcPr>
            <w:tcW w:w="2139" w:type="pct"/>
            <w:vAlign w:val="center"/>
          </w:tcPr>
          <w:p>
            <w:pPr>
              <w:jc w:val="center"/>
              <w:rPr>
                <w:color w:val="auto"/>
                <w:szCs w:val="21"/>
              </w:rPr>
            </w:pPr>
            <w:r>
              <w:rPr>
                <w:rFonts w:hint="eastAsia"/>
                <w:color w:val="auto"/>
                <w:szCs w:val="21"/>
                <w:lang w:val="en-US" w:eastAsia="zh-CN"/>
              </w:rPr>
              <w:t>东至县泥溪镇人民政府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9</w:t>
            </w:r>
          </w:p>
        </w:tc>
        <w:tc>
          <w:tcPr>
            <w:tcW w:w="2139" w:type="pct"/>
            <w:vAlign w:val="center"/>
          </w:tcPr>
          <w:p>
            <w:pPr>
              <w:jc w:val="center"/>
              <w:rPr>
                <w:color w:val="auto"/>
                <w:szCs w:val="21"/>
              </w:rPr>
            </w:pPr>
            <w:r>
              <w:rPr>
                <w:rFonts w:hint="eastAsia"/>
                <w:color w:val="auto"/>
                <w:szCs w:val="21"/>
                <w:lang w:val="en-US" w:eastAsia="zh-CN"/>
              </w:rPr>
              <w:t>东至县官港镇人民政府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10</w:t>
            </w:r>
          </w:p>
        </w:tc>
        <w:tc>
          <w:tcPr>
            <w:tcW w:w="2139" w:type="pct"/>
            <w:vAlign w:val="center"/>
          </w:tcPr>
          <w:p>
            <w:pPr>
              <w:jc w:val="center"/>
              <w:rPr>
                <w:color w:val="auto"/>
                <w:szCs w:val="21"/>
              </w:rPr>
            </w:pPr>
            <w:r>
              <w:rPr>
                <w:rFonts w:hint="eastAsia"/>
                <w:color w:val="auto"/>
                <w:szCs w:val="21"/>
                <w:lang w:val="en-US" w:eastAsia="zh-CN"/>
              </w:rPr>
              <w:t>东至县张溪镇人民政府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color w:val="auto"/>
                <w:szCs w:val="21"/>
              </w:rPr>
            </w:pPr>
            <w:r>
              <w:rPr>
                <w:rFonts w:hint="eastAsia"/>
                <w:color w:val="auto"/>
                <w:szCs w:val="21"/>
              </w:rPr>
              <w:t>11</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东至县洋湖镇人民政府</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hint="default" w:eastAsia="宋体"/>
                <w:color w:val="auto"/>
                <w:szCs w:val="21"/>
                <w:lang w:val="en-US" w:eastAsia="zh-CN"/>
              </w:rPr>
            </w:pPr>
            <w:r>
              <w:rPr>
                <w:rFonts w:hint="eastAsia"/>
                <w:color w:val="auto"/>
                <w:szCs w:val="21"/>
                <w:lang w:val="en-US" w:eastAsia="zh-CN"/>
              </w:rPr>
              <w:t>12</w:t>
            </w:r>
          </w:p>
        </w:tc>
        <w:tc>
          <w:tcPr>
            <w:tcW w:w="2139" w:type="pct"/>
            <w:vAlign w:val="center"/>
          </w:tcPr>
          <w:p>
            <w:pPr>
              <w:jc w:val="center"/>
              <w:rPr>
                <w:rFonts w:hint="eastAsia"/>
                <w:color w:val="auto"/>
                <w:szCs w:val="21"/>
                <w:lang w:val="en-US" w:eastAsia="zh-CN"/>
              </w:rPr>
            </w:pPr>
            <w:r>
              <w:rPr>
                <w:rFonts w:hint="eastAsia"/>
                <w:color w:val="auto"/>
                <w:szCs w:val="21"/>
                <w:lang w:val="en-US" w:eastAsia="zh-CN"/>
              </w:rPr>
              <w:t>东至县尧渡镇人民政府</w:t>
            </w:r>
          </w:p>
        </w:tc>
        <w:tc>
          <w:tcPr>
            <w:tcW w:w="1784" w:type="pct"/>
            <w:vAlign w:val="center"/>
          </w:tcPr>
          <w:p>
            <w:pPr>
              <w:jc w:val="center"/>
              <w:rPr>
                <w:rFonts w:hint="eastAsia"/>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13</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东至县财政局</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14</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东至县发展和改革委员会</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5</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东至县科技经济信息化局</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6</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东至县住房和城乡建设局</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7</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池州市东至县生态环境分局</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8</w:t>
            </w:r>
          </w:p>
        </w:tc>
        <w:tc>
          <w:tcPr>
            <w:tcW w:w="2139" w:type="pct"/>
            <w:vAlign w:val="center"/>
          </w:tcPr>
          <w:p>
            <w:pPr>
              <w:jc w:val="center"/>
              <w:rPr>
                <w:rFonts w:hint="default" w:eastAsia="宋体"/>
                <w:color w:val="auto"/>
                <w:szCs w:val="21"/>
                <w:lang w:val="en-US" w:eastAsia="zh-CN"/>
              </w:rPr>
            </w:pPr>
            <w:r>
              <w:rPr>
                <w:rFonts w:hint="eastAsia"/>
                <w:color w:val="auto"/>
                <w:szCs w:val="21"/>
                <w:lang w:val="en-US" w:eastAsia="zh-CN"/>
              </w:rPr>
              <w:t>东至县应急管理局</w:t>
            </w:r>
          </w:p>
        </w:tc>
        <w:tc>
          <w:tcPr>
            <w:tcW w:w="1784" w:type="pct"/>
            <w:vAlign w:val="center"/>
          </w:tcPr>
          <w:p>
            <w:pPr>
              <w:jc w:val="center"/>
              <w:rPr>
                <w:color w:val="auto"/>
                <w:szCs w:val="21"/>
              </w:rPr>
            </w:pPr>
            <w:r>
              <w:rPr>
                <w:rFonts w:hint="eastAsia"/>
                <w:color w:val="auto"/>
                <w:szCs w:val="21"/>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ascii="Times New Roman" w:hAnsi="Times New Roman" w:eastAsia="宋体" w:cs="Times New Roman"/>
                <w:color w:val="auto"/>
                <w:kern w:val="2"/>
                <w:sz w:val="21"/>
                <w:szCs w:val="21"/>
                <w:lang w:val="en-US" w:eastAsia="zh-CN" w:bidi="ar-SA"/>
              </w:rPr>
            </w:pPr>
            <w:r>
              <w:rPr>
                <w:rFonts w:hint="eastAsia"/>
                <w:color w:val="auto"/>
                <w:szCs w:val="21"/>
              </w:rPr>
              <w:t>1</w:t>
            </w:r>
            <w:r>
              <w:rPr>
                <w:color w:val="auto"/>
                <w:szCs w:val="21"/>
              </w:rPr>
              <w:t>9</w:t>
            </w:r>
          </w:p>
        </w:tc>
        <w:tc>
          <w:tcPr>
            <w:tcW w:w="2139" w:type="pct"/>
            <w:vAlign w:val="center"/>
          </w:tcPr>
          <w:p>
            <w:pPr>
              <w:jc w:val="center"/>
              <w:rPr>
                <w:color w:val="auto"/>
                <w:szCs w:val="21"/>
              </w:rPr>
            </w:pPr>
            <w:r>
              <w:rPr>
                <w:rFonts w:hint="eastAsia"/>
                <w:color w:val="auto"/>
                <w:szCs w:val="21"/>
                <w:lang w:val="en-US" w:eastAsia="zh-CN"/>
              </w:rPr>
              <w:t>东至县</w:t>
            </w:r>
            <w:r>
              <w:rPr>
                <w:rFonts w:hint="eastAsia"/>
                <w:color w:val="auto"/>
                <w:szCs w:val="21"/>
              </w:rPr>
              <w:t>发展和改革委员会</w:t>
            </w:r>
          </w:p>
        </w:tc>
        <w:tc>
          <w:tcPr>
            <w:tcW w:w="1784" w:type="pct"/>
            <w:vAlign w:val="center"/>
          </w:tcPr>
          <w:p>
            <w:pPr>
              <w:pStyle w:val="29"/>
              <w:ind w:left="0" w:leftChars="0" w:firstLine="0" w:firstLineChars="0"/>
              <w:jc w:val="center"/>
              <w:rPr>
                <w:color w:val="auto"/>
              </w:rPr>
            </w:pPr>
            <w:r>
              <w:rPr>
                <w:rFonts w:hint="eastAsia" w:ascii="Times New Roman" w:hAnsi="Times New Roman" w:eastAsia="宋体" w:cs="Times New Roman"/>
                <w:color w:val="auto"/>
                <w:kern w:val="2"/>
                <w:sz w:val="21"/>
                <w:szCs w:val="21"/>
                <w:lang w:val="en-US" w:eastAsia="zh-CN" w:bidi="ar-SA"/>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20</w:t>
            </w:r>
          </w:p>
        </w:tc>
        <w:tc>
          <w:tcPr>
            <w:tcW w:w="2139" w:type="pct"/>
            <w:vAlign w:val="center"/>
          </w:tcPr>
          <w:p>
            <w:pPr>
              <w:jc w:val="center"/>
              <w:rPr>
                <w:color w:val="auto"/>
                <w:szCs w:val="21"/>
              </w:rPr>
            </w:pPr>
            <w:r>
              <w:rPr>
                <w:rFonts w:hint="eastAsia"/>
                <w:color w:val="auto"/>
                <w:szCs w:val="21"/>
                <w:lang w:val="en-US" w:eastAsia="zh-CN"/>
              </w:rPr>
              <w:t>东至县</w:t>
            </w:r>
            <w:r>
              <w:rPr>
                <w:rFonts w:hint="eastAsia"/>
                <w:color w:val="auto"/>
                <w:szCs w:val="21"/>
              </w:rPr>
              <w:t>文化和旅游局</w:t>
            </w:r>
          </w:p>
        </w:tc>
        <w:tc>
          <w:tcPr>
            <w:tcW w:w="1784" w:type="pct"/>
            <w:vAlign w:val="center"/>
          </w:tcPr>
          <w:p>
            <w:pPr>
              <w:pStyle w:val="29"/>
              <w:ind w:left="0" w:leftChars="0"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无意见</w:t>
            </w:r>
          </w:p>
        </w:tc>
        <w:tc>
          <w:tcPr>
            <w:tcW w:w="538" w:type="pct"/>
            <w:vAlign w:val="center"/>
          </w:tcPr>
          <w:p>
            <w:pPr>
              <w:jc w:val="center"/>
              <w:rPr>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37" w:type="pct"/>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21</w:t>
            </w:r>
          </w:p>
        </w:tc>
        <w:tc>
          <w:tcPr>
            <w:tcW w:w="2139" w:type="pct"/>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东至县林业局</w:t>
            </w:r>
          </w:p>
        </w:tc>
        <w:tc>
          <w:tcPr>
            <w:tcW w:w="1784" w:type="pct"/>
            <w:vAlign w:val="center"/>
          </w:tcPr>
          <w:p>
            <w:pPr>
              <w:pStyle w:val="29"/>
              <w:ind w:left="0" w:leftChars="0" w:firstLine="0" w:firstLineChars="0"/>
              <w:jc w:val="center"/>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无意见</w:t>
            </w:r>
          </w:p>
        </w:tc>
        <w:tc>
          <w:tcPr>
            <w:tcW w:w="538" w:type="pct"/>
            <w:vAlign w:val="center"/>
          </w:tcPr>
          <w:p>
            <w:pPr>
              <w:jc w:val="center"/>
              <w:rPr>
                <w:color w:val="auto"/>
                <w:szCs w:val="21"/>
                <w:highlight w:val="none"/>
              </w:rPr>
            </w:pPr>
          </w:p>
        </w:tc>
      </w:tr>
    </w:tbl>
    <w:p>
      <w:pPr>
        <w:spacing w:line="560" w:lineRule="exact"/>
        <w:ind w:firstLine="602" w:firstLineChars="200"/>
        <w:jc w:val="left"/>
        <w:rPr>
          <w:rFonts w:ascii="仿宋" w:hAnsi="仿宋" w:eastAsia="仿宋"/>
          <w:b/>
          <w:bCs/>
          <w:color w:val="auto"/>
          <w:sz w:val="30"/>
          <w:szCs w:val="30"/>
        </w:rPr>
        <w:sectPr>
          <w:pgSz w:w="11907" w:h="16840"/>
          <w:pgMar w:top="1588" w:right="1361" w:bottom="1247"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spacing w:line="560" w:lineRule="exact"/>
        <w:ind w:firstLine="602" w:firstLineChars="200"/>
        <w:jc w:val="left"/>
        <w:rPr>
          <w:rFonts w:hint="eastAsia" w:ascii="仿宋" w:hAnsi="仿宋" w:eastAsia="仿宋"/>
          <w:b/>
          <w:bCs/>
          <w:color w:val="auto"/>
          <w:sz w:val="30"/>
          <w:szCs w:val="30"/>
        </w:rPr>
      </w:pPr>
      <w:r>
        <w:rPr>
          <w:rFonts w:hint="eastAsia" w:ascii="仿宋" w:hAnsi="仿宋" w:eastAsia="仿宋"/>
          <w:b/>
          <w:bCs/>
          <w:color w:val="auto"/>
          <w:sz w:val="30"/>
          <w:szCs w:val="30"/>
        </w:rPr>
        <w:t>附件</w:t>
      </w:r>
      <w:r>
        <w:rPr>
          <w:rFonts w:hint="eastAsia" w:ascii="仿宋" w:hAnsi="仿宋" w:eastAsia="仿宋"/>
          <w:b/>
          <w:bCs/>
          <w:color w:val="auto"/>
          <w:sz w:val="30"/>
          <w:szCs w:val="30"/>
          <w:lang w:val="en-US" w:eastAsia="zh-CN"/>
        </w:rPr>
        <w:t>一</w:t>
      </w:r>
      <w:r>
        <w:rPr>
          <w:rFonts w:hint="eastAsia" w:ascii="仿宋" w:hAnsi="仿宋" w:eastAsia="仿宋"/>
          <w:b/>
          <w:bCs/>
          <w:color w:val="auto"/>
          <w:sz w:val="30"/>
          <w:szCs w:val="30"/>
        </w:rPr>
        <w:t xml:space="preserve"> </w:t>
      </w:r>
      <w:r>
        <w:rPr>
          <w:rFonts w:ascii="仿宋" w:hAnsi="仿宋" w:eastAsia="仿宋"/>
          <w:b/>
          <w:bCs/>
          <w:color w:val="auto"/>
          <w:sz w:val="30"/>
          <w:szCs w:val="30"/>
        </w:rPr>
        <w:t xml:space="preserve"> </w:t>
      </w:r>
      <w:r>
        <w:rPr>
          <w:rFonts w:hint="eastAsia" w:ascii="仿宋" w:hAnsi="仿宋" w:eastAsia="仿宋"/>
          <w:b/>
          <w:bCs/>
          <w:color w:val="auto"/>
          <w:sz w:val="30"/>
          <w:szCs w:val="30"/>
        </w:rPr>
        <w:t>相关部门征示意见</w:t>
      </w:r>
    </w:p>
    <w:p>
      <w:pPr>
        <w:pStyle w:val="2"/>
        <w:spacing w:line="240" w:lineRule="auto"/>
        <w:ind w:firstLine="420" w:firstLineChars="200"/>
        <w:jc w:val="center"/>
        <w:rPr>
          <w:rFonts w:hint="eastAsia"/>
          <w:color w:val="auto"/>
          <w:lang w:eastAsia="zh-CN"/>
        </w:rPr>
      </w:pPr>
      <w:r>
        <w:rPr>
          <w:rFonts w:hint="eastAsia"/>
          <w:color w:val="auto"/>
          <w:lang w:eastAsia="zh-CN"/>
        </w:rPr>
        <w:drawing>
          <wp:inline distT="0" distB="0" distL="114300" distR="114300">
            <wp:extent cx="5528310" cy="7154545"/>
            <wp:effectExtent l="0" t="0" r="15240" b="8255"/>
            <wp:docPr id="18" name="图片 18" descr="关于《东至县地质灾害防治“十四五”规划（2021-2025 年）》征求意见的函_页面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关于《东至县地质灾害防治“十四五”规划（2021-2025 年）》征求意见的函_页面_1"/>
                    <pic:cNvPicPr>
                      <a:picLocks noChangeAspect="1"/>
                    </pic:cNvPicPr>
                  </pic:nvPicPr>
                  <pic:blipFill>
                    <a:blip r:embed="rId20"/>
                    <a:srcRect t="8490"/>
                    <a:stretch>
                      <a:fillRect/>
                    </a:stretch>
                  </pic:blipFill>
                  <pic:spPr>
                    <a:xfrm>
                      <a:off x="0" y="0"/>
                      <a:ext cx="5528310" cy="7154545"/>
                    </a:xfrm>
                    <a:prstGeom prst="rect">
                      <a:avLst/>
                    </a:prstGeom>
                  </pic:spPr>
                </pic:pic>
              </a:graphicData>
            </a:graphic>
          </wp:inline>
        </w:drawing>
      </w:r>
    </w:p>
    <w:p>
      <w:pPr>
        <w:pStyle w:val="2"/>
        <w:spacing w:line="240" w:lineRule="auto"/>
        <w:ind w:firstLine="420" w:firstLineChars="200"/>
        <w:jc w:val="center"/>
        <w:rPr>
          <w:rFonts w:ascii="仿宋" w:hAnsi="仿宋" w:eastAsia="仿宋"/>
          <w:b/>
          <w:bCs/>
          <w:color w:val="auto"/>
          <w:sz w:val="30"/>
          <w:szCs w:val="30"/>
        </w:rPr>
      </w:pPr>
      <w:r>
        <w:rPr>
          <w:rFonts w:hint="eastAsia"/>
          <w:color w:val="auto"/>
          <w:lang w:eastAsia="zh-CN"/>
        </w:rPr>
        <w:drawing>
          <wp:inline distT="0" distB="0" distL="114300" distR="114300">
            <wp:extent cx="5339715" cy="7279005"/>
            <wp:effectExtent l="0" t="0" r="13335" b="17145"/>
            <wp:docPr id="10" name="图片 10" descr="关于《东至县地质灾害防治“十四五”规划（2021-2025 年）》征求意见的函_页面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关于《东至县地质灾害防治“十四五”规划（2021-2025 年）》征求意见的函_页面_2"/>
                    <pic:cNvPicPr>
                      <a:picLocks noChangeAspect="1"/>
                    </pic:cNvPicPr>
                  </pic:nvPicPr>
                  <pic:blipFill>
                    <a:blip r:embed="rId21"/>
                    <a:srcRect t="1802" b="1810"/>
                    <a:stretch>
                      <a:fillRect/>
                    </a:stretch>
                  </pic:blipFill>
                  <pic:spPr>
                    <a:xfrm>
                      <a:off x="0" y="0"/>
                      <a:ext cx="5339715" cy="7279005"/>
                    </a:xfrm>
                    <a:prstGeom prst="rect">
                      <a:avLst/>
                    </a:prstGeom>
                  </pic:spPr>
                </pic:pic>
              </a:graphicData>
            </a:graphic>
          </wp:inline>
        </w:drawing>
      </w:r>
    </w:p>
    <w:p>
      <w:pPr>
        <w:pStyle w:val="2"/>
        <w:spacing w:line="240" w:lineRule="auto"/>
        <w:ind w:firstLine="420" w:firstLineChars="200"/>
        <w:rPr>
          <w:rFonts w:hint="eastAsia" w:eastAsia="仿宋"/>
          <w:color w:val="auto"/>
          <w:lang w:eastAsia="zh-CN"/>
        </w:rPr>
        <w:sectPr>
          <w:pgSz w:w="11907" w:h="16840"/>
          <w:pgMar w:top="1588" w:right="1361" w:bottom="1247" w:left="1247" w:header="851"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eastAsia="仿宋"/>
          <w:color w:val="auto"/>
          <w:lang w:eastAsia="zh-CN"/>
        </w:rPr>
        <w:drawing>
          <wp:inline distT="0" distB="0" distL="114300" distR="114300">
            <wp:extent cx="5903595" cy="8191500"/>
            <wp:effectExtent l="0" t="0" r="1905" b="0"/>
            <wp:docPr id="27" name="图片 27" descr="关于再次征求《东至县地质灾害“十四五”防治规划(2016--2025 年)》(征求意见稿)意见的函-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再次征求《东至县地质灾害“十四五”防治规划(2016--2025 年)》(征求意见稿)意见的函-1"/>
                    <pic:cNvPicPr>
                      <a:picLocks noChangeAspect="1"/>
                    </pic:cNvPicPr>
                  </pic:nvPicPr>
                  <pic:blipFill>
                    <a:blip r:embed="rId22"/>
                    <a:stretch>
                      <a:fillRect/>
                    </a:stretch>
                  </pic:blipFill>
                  <pic:spPr>
                    <a:xfrm>
                      <a:off x="0" y="0"/>
                      <a:ext cx="5903595" cy="8191500"/>
                    </a:xfrm>
                    <a:prstGeom prst="rect">
                      <a:avLst/>
                    </a:prstGeom>
                  </pic:spPr>
                </pic:pic>
              </a:graphicData>
            </a:graphic>
          </wp:inline>
        </w:drawing>
      </w:r>
      <w:r>
        <w:rPr>
          <w:rFonts w:hint="eastAsia" w:eastAsia="仿宋"/>
          <w:color w:val="auto"/>
          <w:lang w:eastAsia="zh-CN"/>
        </w:rPr>
        <w:drawing>
          <wp:inline distT="0" distB="0" distL="114300" distR="114300">
            <wp:extent cx="5903595" cy="8191500"/>
            <wp:effectExtent l="0" t="0" r="1905" b="0"/>
            <wp:docPr id="26" name="图片 26" descr="关于再次征求《东至县地质灾害“十四五”防治规划(2016--2025 年)》(征求意见稿)意见的函-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再次征求《东至县地质灾害“十四五”防治规划(2016--2025 年)》(征求意见稿)意见的函-2"/>
                    <pic:cNvPicPr>
                      <a:picLocks noChangeAspect="1"/>
                    </pic:cNvPicPr>
                  </pic:nvPicPr>
                  <pic:blipFill>
                    <a:blip r:embed="rId23"/>
                    <a:stretch>
                      <a:fillRect/>
                    </a:stretch>
                  </pic:blipFill>
                  <pic:spPr>
                    <a:xfrm>
                      <a:off x="0" y="0"/>
                      <a:ext cx="5903595" cy="8191500"/>
                    </a:xfrm>
                    <a:prstGeom prst="rect">
                      <a:avLst/>
                    </a:prstGeom>
                  </pic:spPr>
                </pic:pic>
              </a:graphicData>
            </a:graphic>
          </wp:inline>
        </w:drawing>
      </w:r>
    </w:p>
    <w:p>
      <w:pPr>
        <w:spacing w:line="240" w:lineRule="auto"/>
        <w:ind w:firstLine="600" w:firstLineChars="200"/>
        <w:jc w:val="left"/>
        <w:rPr>
          <w:rFonts w:hint="eastAsia" w:ascii="仿宋" w:hAnsi="仿宋" w:eastAsia="仿宋"/>
          <w:color w:val="auto"/>
          <w:sz w:val="30"/>
          <w:szCs w:val="30"/>
          <w:lang w:eastAsia="zh-CN"/>
        </w:rPr>
      </w:pPr>
      <w:r>
        <w:rPr>
          <w:rFonts w:hint="eastAsia" w:ascii="仿宋" w:hAnsi="仿宋" w:eastAsia="仿宋"/>
          <w:color w:val="auto"/>
          <w:sz w:val="30"/>
          <w:szCs w:val="30"/>
          <w:lang w:eastAsia="zh-CN"/>
        </w:rPr>
        <w:drawing>
          <wp:inline distT="0" distB="0" distL="114300" distR="114300">
            <wp:extent cx="5897880" cy="8016875"/>
            <wp:effectExtent l="0" t="0" r="7620" b="3175"/>
            <wp:docPr id="48" name="图片 48" descr="葛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葛公"/>
                    <pic:cNvPicPr>
                      <a:picLocks noChangeAspect="1"/>
                    </pic:cNvPicPr>
                  </pic:nvPicPr>
                  <pic:blipFill>
                    <a:blip r:embed="rId24"/>
                    <a:stretch>
                      <a:fillRect/>
                    </a:stretch>
                  </pic:blipFill>
                  <pic:spPr>
                    <a:xfrm>
                      <a:off x="0" y="0"/>
                      <a:ext cx="5897880" cy="8016875"/>
                    </a:xfrm>
                    <a:prstGeom prst="rect">
                      <a:avLst/>
                    </a:prstGeom>
                  </pic:spPr>
                </pic:pic>
              </a:graphicData>
            </a:graphic>
          </wp:inline>
        </w:drawing>
      </w:r>
    </w:p>
    <w:p>
      <w:pPr>
        <w:spacing w:line="240" w:lineRule="auto"/>
        <w:ind w:firstLine="600" w:firstLineChars="200"/>
        <w:jc w:val="left"/>
        <w:rPr>
          <w:rFonts w:hint="eastAsia" w:ascii="仿宋" w:hAnsi="仿宋" w:eastAsia="仿宋"/>
          <w:color w:val="auto"/>
          <w:sz w:val="30"/>
          <w:szCs w:val="30"/>
          <w:lang w:eastAsia="zh-CN"/>
        </w:rPr>
      </w:pPr>
      <w:r>
        <w:rPr>
          <w:rFonts w:hint="eastAsia" w:ascii="仿宋" w:hAnsi="仿宋" w:eastAsia="仿宋"/>
          <w:color w:val="auto"/>
          <w:sz w:val="30"/>
          <w:szCs w:val="30"/>
          <w:lang w:eastAsia="zh-CN"/>
        </w:rPr>
        <w:drawing>
          <wp:inline distT="0" distB="0" distL="114300" distR="114300">
            <wp:extent cx="5899150" cy="8113395"/>
            <wp:effectExtent l="0" t="0" r="6350" b="1905"/>
            <wp:docPr id="49" name="图片 49" descr="花园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花园乡"/>
                    <pic:cNvPicPr>
                      <a:picLocks noChangeAspect="1"/>
                    </pic:cNvPicPr>
                  </pic:nvPicPr>
                  <pic:blipFill>
                    <a:blip r:embed="rId25"/>
                    <a:stretch>
                      <a:fillRect/>
                    </a:stretch>
                  </pic:blipFill>
                  <pic:spPr>
                    <a:xfrm>
                      <a:off x="0" y="0"/>
                      <a:ext cx="5899150" cy="8113395"/>
                    </a:xfrm>
                    <a:prstGeom prst="rect">
                      <a:avLst/>
                    </a:prstGeom>
                  </pic:spPr>
                </pic:pic>
              </a:graphicData>
            </a:graphic>
          </wp:inline>
        </w:drawing>
      </w:r>
    </w:p>
    <w:p>
      <w:pPr>
        <w:spacing w:line="240" w:lineRule="auto"/>
        <w:ind w:firstLine="600" w:firstLineChars="200"/>
        <w:jc w:val="left"/>
        <w:rPr>
          <w:rFonts w:hint="eastAsia" w:ascii="仿宋" w:hAnsi="仿宋" w:eastAsia="仿宋"/>
          <w:color w:val="auto"/>
          <w:sz w:val="30"/>
          <w:szCs w:val="30"/>
          <w:lang w:eastAsia="zh-CN"/>
        </w:rPr>
      </w:pPr>
      <w:r>
        <w:rPr>
          <w:rFonts w:hint="eastAsia" w:ascii="仿宋" w:hAnsi="仿宋" w:eastAsia="仿宋"/>
          <w:color w:val="auto"/>
          <w:sz w:val="30"/>
          <w:szCs w:val="30"/>
          <w:lang w:eastAsia="zh-CN"/>
        </w:rPr>
        <w:drawing>
          <wp:inline distT="0" distB="0" distL="114300" distR="114300">
            <wp:extent cx="5899150" cy="8183880"/>
            <wp:effectExtent l="0" t="0" r="6350" b="7620"/>
            <wp:docPr id="50" name="图片 50" descr="龙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龙泉"/>
                    <pic:cNvPicPr>
                      <a:picLocks noChangeAspect="1"/>
                    </pic:cNvPicPr>
                  </pic:nvPicPr>
                  <pic:blipFill>
                    <a:blip r:embed="rId26"/>
                    <a:stretch>
                      <a:fillRect/>
                    </a:stretch>
                  </pic:blipFill>
                  <pic:spPr>
                    <a:xfrm>
                      <a:off x="0" y="0"/>
                      <a:ext cx="5899150" cy="8183880"/>
                    </a:xfrm>
                    <a:prstGeom prst="rect">
                      <a:avLst/>
                    </a:prstGeom>
                  </pic:spPr>
                </pic:pic>
              </a:graphicData>
            </a:graphic>
          </wp:inline>
        </w:drawing>
      </w:r>
    </w:p>
    <w:p>
      <w:pPr>
        <w:bidi w:val="0"/>
        <w:ind w:firstLine="420" w:firstLineChars="200"/>
        <w:rPr>
          <w:rFonts w:hint="eastAsia"/>
          <w:color w:val="auto"/>
          <w:lang w:eastAsia="zh-CN"/>
        </w:rPr>
      </w:pPr>
      <w:r>
        <w:rPr>
          <w:rFonts w:hint="eastAsia"/>
          <w:color w:val="auto"/>
          <w:lang w:eastAsia="zh-CN"/>
        </w:rPr>
        <w:drawing>
          <wp:inline distT="0" distB="0" distL="114300" distR="114300">
            <wp:extent cx="5904230" cy="8010525"/>
            <wp:effectExtent l="0" t="0" r="1270" b="9525"/>
            <wp:docPr id="51" name="图片 51" descr="木塔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木塔乡"/>
                    <pic:cNvPicPr>
                      <a:picLocks noChangeAspect="1"/>
                    </pic:cNvPicPr>
                  </pic:nvPicPr>
                  <pic:blipFill>
                    <a:blip r:embed="rId27"/>
                    <a:stretch>
                      <a:fillRect/>
                    </a:stretch>
                  </pic:blipFill>
                  <pic:spPr>
                    <a:xfrm>
                      <a:off x="0" y="0"/>
                      <a:ext cx="5904230" cy="801052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99150" cy="8183880"/>
            <wp:effectExtent l="0" t="0" r="6350" b="7620"/>
            <wp:docPr id="52" name="图片 52" descr="青山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青山乡"/>
                    <pic:cNvPicPr>
                      <a:picLocks noChangeAspect="1"/>
                    </pic:cNvPicPr>
                  </pic:nvPicPr>
                  <pic:blipFill>
                    <a:blip r:embed="rId28"/>
                    <a:stretch>
                      <a:fillRect/>
                    </a:stretch>
                  </pic:blipFill>
                  <pic:spPr>
                    <a:xfrm>
                      <a:off x="0" y="0"/>
                      <a:ext cx="5899150" cy="818388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97880" cy="7634605"/>
            <wp:effectExtent l="0" t="0" r="7620" b="4445"/>
            <wp:docPr id="53" name="图片 53" descr="昭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昭潭"/>
                    <pic:cNvPicPr>
                      <a:picLocks noChangeAspect="1"/>
                    </pic:cNvPicPr>
                  </pic:nvPicPr>
                  <pic:blipFill>
                    <a:blip r:embed="rId29"/>
                    <a:stretch>
                      <a:fillRect/>
                    </a:stretch>
                  </pic:blipFill>
                  <pic:spPr>
                    <a:xfrm>
                      <a:off x="0" y="0"/>
                      <a:ext cx="5897880" cy="763460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98515" cy="8145780"/>
            <wp:effectExtent l="0" t="0" r="6985" b="7620"/>
            <wp:docPr id="54" name="图片 54" descr="香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香隅"/>
                    <pic:cNvPicPr>
                      <a:picLocks noChangeAspect="1"/>
                    </pic:cNvPicPr>
                  </pic:nvPicPr>
                  <pic:blipFill>
                    <a:blip r:embed="rId30"/>
                    <a:stretch>
                      <a:fillRect/>
                    </a:stretch>
                  </pic:blipFill>
                  <pic:spPr>
                    <a:xfrm>
                      <a:off x="0" y="0"/>
                      <a:ext cx="5898515" cy="814578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902325" cy="8400415"/>
            <wp:effectExtent l="0" t="0" r="3175" b="635"/>
            <wp:docPr id="55" name="图片 55" descr="泥溪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泥溪镇"/>
                    <pic:cNvPicPr>
                      <a:picLocks noChangeAspect="1"/>
                    </pic:cNvPicPr>
                  </pic:nvPicPr>
                  <pic:blipFill>
                    <a:blip r:embed="rId31"/>
                    <a:stretch>
                      <a:fillRect/>
                    </a:stretch>
                  </pic:blipFill>
                  <pic:spPr>
                    <a:xfrm>
                      <a:off x="0" y="0"/>
                      <a:ext cx="5902325" cy="840041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902325" cy="8348345"/>
            <wp:effectExtent l="0" t="0" r="3175" b="14605"/>
            <wp:docPr id="56" name="图片 56" descr="官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官港"/>
                    <pic:cNvPicPr>
                      <a:picLocks noChangeAspect="1"/>
                    </pic:cNvPicPr>
                  </pic:nvPicPr>
                  <pic:blipFill>
                    <a:blip r:embed="rId32"/>
                    <a:stretch>
                      <a:fillRect/>
                    </a:stretch>
                  </pic:blipFill>
                  <pic:spPr>
                    <a:xfrm>
                      <a:off x="0" y="0"/>
                      <a:ext cx="5902325" cy="834834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904865" cy="8351520"/>
            <wp:effectExtent l="0" t="0" r="635" b="11430"/>
            <wp:docPr id="57" name="图片 57" descr="张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张溪"/>
                    <pic:cNvPicPr>
                      <a:picLocks noChangeAspect="1"/>
                    </pic:cNvPicPr>
                  </pic:nvPicPr>
                  <pic:blipFill>
                    <a:blip r:embed="rId33"/>
                    <a:stretch>
                      <a:fillRect/>
                    </a:stretch>
                  </pic:blipFill>
                  <pic:spPr>
                    <a:xfrm>
                      <a:off x="0" y="0"/>
                      <a:ext cx="5904865" cy="835152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99785" cy="8323580"/>
            <wp:effectExtent l="0" t="0" r="5715" b="1270"/>
            <wp:docPr id="58" name="图片 58" descr="洋湖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洋湖镇"/>
                    <pic:cNvPicPr>
                      <a:picLocks noChangeAspect="1"/>
                    </pic:cNvPicPr>
                  </pic:nvPicPr>
                  <pic:blipFill>
                    <a:blip r:embed="rId34"/>
                    <a:stretch>
                      <a:fillRect/>
                    </a:stretch>
                  </pic:blipFill>
                  <pic:spPr>
                    <a:xfrm>
                      <a:off x="0" y="0"/>
                      <a:ext cx="5899785" cy="832358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92165" cy="7992110"/>
            <wp:effectExtent l="0" t="0" r="13335" b="8890"/>
            <wp:docPr id="59" name="图片 59" descr="尧渡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尧渡镇"/>
                    <pic:cNvPicPr>
                      <a:picLocks noChangeAspect="1"/>
                    </pic:cNvPicPr>
                  </pic:nvPicPr>
                  <pic:blipFill>
                    <a:blip r:embed="rId35"/>
                    <a:stretch>
                      <a:fillRect/>
                    </a:stretch>
                  </pic:blipFill>
                  <pic:spPr>
                    <a:xfrm>
                      <a:off x="0" y="0"/>
                      <a:ext cx="5892165" cy="799211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901055" cy="8344535"/>
            <wp:effectExtent l="0" t="0" r="4445" b="18415"/>
            <wp:docPr id="60" name="图片 60" descr="财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财政"/>
                    <pic:cNvPicPr>
                      <a:picLocks noChangeAspect="1"/>
                    </pic:cNvPicPr>
                  </pic:nvPicPr>
                  <pic:blipFill>
                    <a:blip r:embed="rId36"/>
                    <a:stretch>
                      <a:fillRect/>
                    </a:stretch>
                  </pic:blipFill>
                  <pic:spPr>
                    <a:xfrm>
                      <a:off x="0" y="0"/>
                      <a:ext cx="5901055" cy="834453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901055" cy="8223885"/>
            <wp:effectExtent l="0" t="0" r="4445" b="5715"/>
            <wp:docPr id="61" name="图片 61" descr="发改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发改委"/>
                    <pic:cNvPicPr>
                      <a:picLocks noChangeAspect="1"/>
                    </pic:cNvPicPr>
                  </pic:nvPicPr>
                  <pic:blipFill>
                    <a:blip r:embed="rId37"/>
                    <a:stretch>
                      <a:fillRect/>
                    </a:stretch>
                  </pic:blipFill>
                  <pic:spPr>
                    <a:xfrm>
                      <a:off x="0" y="0"/>
                      <a:ext cx="5901055" cy="822388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99785" cy="8355330"/>
            <wp:effectExtent l="0" t="0" r="5715" b="7620"/>
            <wp:docPr id="62" name="图片 62" descr="县科经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县科经局"/>
                    <pic:cNvPicPr>
                      <a:picLocks noChangeAspect="1"/>
                    </pic:cNvPicPr>
                  </pic:nvPicPr>
                  <pic:blipFill>
                    <a:blip r:embed="rId38"/>
                    <a:stretch>
                      <a:fillRect/>
                    </a:stretch>
                  </pic:blipFill>
                  <pic:spPr>
                    <a:xfrm>
                      <a:off x="0" y="0"/>
                      <a:ext cx="5899785" cy="835533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419090" cy="8836025"/>
            <wp:effectExtent l="0" t="0" r="10160" b="3175"/>
            <wp:docPr id="63" name="图片 63" descr="住建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住建局"/>
                    <pic:cNvPicPr>
                      <a:picLocks noChangeAspect="1"/>
                    </pic:cNvPicPr>
                  </pic:nvPicPr>
                  <pic:blipFill>
                    <a:blip r:embed="rId39"/>
                    <a:stretch>
                      <a:fillRect/>
                    </a:stretch>
                  </pic:blipFill>
                  <pic:spPr>
                    <a:xfrm>
                      <a:off x="0" y="0"/>
                      <a:ext cx="5419090" cy="883602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4992370" cy="8876030"/>
            <wp:effectExtent l="0" t="0" r="17780" b="1270"/>
            <wp:docPr id="101" name="图片 101" descr="环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环保"/>
                    <pic:cNvPicPr>
                      <a:picLocks noChangeAspect="1"/>
                    </pic:cNvPicPr>
                  </pic:nvPicPr>
                  <pic:blipFill>
                    <a:blip r:embed="rId40"/>
                    <a:stretch>
                      <a:fillRect/>
                    </a:stretch>
                  </pic:blipFill>
                  <pic:spPr>
                    <a:xfrm>
                      <a:off x="0" y="0"/>
                      <a:ext cx="4992370" cy="887603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884545" cy="8388350"/>
            <wp:effectExtent l="0" t="0" r="1905" b="12700"/>
            <wp:docPr id="103" name="图片 103" descr="应急管理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应急管理局"/>
                    <pic:cNvPicPr>
                      <a:picLocks noChangeAspect="1"/>
                    </pic:cNvPicPr>
                  </pic:nvPicPr>
                  <pic:blipFill>
                    <a:blip r:embed="rId41"/>
                    <a:stretch>
                      <a:fillRect/>
                    </a:stretch>
                  </pic:blipFill>
                  <pic:spPr>
                    <a:xfrm>
                      <a:off x="0" y="0"/>
                      <a:ext cx="5884545" cy="8388350"/>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901055" cy="8223885"/>
            <wp:effectExtent l="0" t="0" r="4445" b="5715"/>
            <wp:docPr id="105" name="图片 105" descr="发改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发改委"/>
                    <pic:cNvPicPr>
                      <a:picLocks noChangeAspect="1"/>
                    </pic:cNvPicPr>
                  </pic:nvPicPr>
                  <pic:blipFill>
                    <a:blip r:embed="rId37"/>
                    <a:stretch>
                      <a:fillRect/>
                    </a:stretch>
                  </pic:blipFill>
                  <pic:spPr>
                    <a:xfrm>
                      <a:off x="0" y="0"/>
                      <a:ext cx="5901055" cy="8223885"/>
                    </a:xfrm>
                    <a:prstGeom prst="rect">
                      <a:avLst/>
                    </a:prstGeom>
                  </pic:spPr>
                </pic:pic>
              </a:graphicData>
            </a:graphic>
          </wp:inline>
        </w:drawing>
      </w:r>
    </w:p>
    <w:p>
      <w:pPr>
        <w:bidi w:val="0"/>
        <w:ind w:firstLine="420" w:firstLineChars="200"/>
        <w:rPr>
          <w:rFonts w:hint="eastAsia"/>
          <w:color w:val="auto"/>
          <w:lang w:val="en-US" w:eastAsia="zh-CN"/>
        </w:rPr>
      </w:pPr>
      <w:r>
        <w:rPr>
          <w:rFonts w:hint="eastAsia"/>
          <w:color w:val="auto"/>
          <w:lang w:val="en-US" w:eastAsia="zh-CN"/>
        </w:rPr>
        <w:drawing>
          <wp:inline distT="0" distB="0" distL="114300" distR="114300">
            <wp:extent cx="5523230" cy="7364730"/>
            <wp:effectExtent l="0" t="0" r="1270" b="7620"/>
            <wp:docPr id="106" name="图片 106" descr="县文旅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县文旅局"/>
                    <pic:cNvPicPr>
                      <a:picLocks noChangeAspect="1"/>
                    </pic:cNvPicPr>
                  </pic:nvPicPr>
                  <pic:blipFill>
                    <a:blip r:embed="rId42"/>
                    <a:stretch>
                      <a:fillRect/>
                    </a:stretch>
                  </pic:blipFill>
                  <pic:spPr>
                    <a:xfrm>
                      <a:off x="0" y="0"/>
                      <a:ext cx="5523230" cy="7364730"/>
                    </a:xfrm>
                    <a:prstGeom prst="rect">
                      <a:avLst/>
                    </a:prstGeom>
                  </pic:spPr>
                </pic:pic>
              </a:graphicData>
            </a:graphic>
          </wp:inline>
        </w:drawing>
      </w:r>
    </w:p>
    <w:p>
      <w:pPr>
        <w:bidi w:val="0"/>
        <w:ind w:firstLine="420" w:firstLineChars="200"/>
        <w:rPr>
          <w:rFonts w:hint="eastAsia"/>
          <w:color w:val="auto"/>
          <w:sz w:val="32"/>
          <w:szCs w:val="32"/>
          <w:lang w:val="en-US" w:eastAsia="zh-CN"/>
        </w:rPr>
      </w:pPr>
      <w:r>
        <w:rPr>
          <w:rFonts w:hint="eastAsia"/>
          <w:color w:val="auto"/>
          <w:lang w:val="en-US" w:eastAsia="zh-CN"/>
        </w:rPr>
        <w:drawing>
          <wp:inline distT="0" distB="0" distL="114300" distR="114300">
            <wp:extent cx="5495925" cy="7439025"/>
            <wp:effectExtent l="0" t="0" r="9525" b="9525"/>
            <wp:docPr id="107" name="图片 107" descr="林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林业"/>
                    <pic:cNvPicPr>
                      <a:picLocks noChangeAspect="1"/>
                    </pic:cNvPicPr>
                  </pic:nvPicPr>
                  <pic:blipFill>
                    <a:blip r:embed="rId43"/>
                    <a:stretch>
                      <a:fillRect/>
                    </a:stretch>
                  </pic:blipFill>
                  <pic:spPr>
                    <a:xfrm>
                      <a:off x="0" y="0"/>
                      <a:ext cx="5495925" cy="7439025"/>
                    </a:xfrm>
                    <a:prstGeom prst="rect">
                      <a:avLst/>
                    </a:prstGeom>
                  </pic:spPr>
                </pic:pic>
              </a:graphicData>
            </a:graphic>
          </wp:inline>
        </w:drawing>
      </w:r>
    </w:p>
    <w:p>
      <w:pPr>
        <w:spacing w:line="560" w:lineRule="exact"/>
        <w:ind w:firstLine="602" w:firstLineChars="200"/>
        <w:jc w:val="left"/>
        <w:rPr>
          <w:rFonts w:hint="eastAsia" w:ascii="仿宋" w:hAnsi="仿宋" w:eastAsia="仿宋"/>
          <w:b/>
          <w:bCs/>
          <w:color w:val="auto"/>
          <w:sz w:val="30"/>
          <w:szCs w:val="30"/>
        </w:rPr>
      </w:pPr>
    </w:p>
    <w:p>
      <w:pPr>
        <w:spacing w:line="560" w:lineRule="exact"/>
        <w:ind w:firstLine="602" w:firstLineChars="200"/>
        <w:jc w:val="left"/>
        <w:rPr>
          <w:rFonts w:hint="eastAsia" w:ascii="仿宋" w:hAnsi="仿宋" w:eastAsia="仿宋"/>
          <w:b/>
          <w:bCs/>
          <w:color w:val="auto"/>
          <w:sz w:val="30"/>
          <w:szCs w:val="30"/>
        </w:rPr>
      </w:pPr>
    </w:p>
    <w:p>
      <w:pPr>
        <w:spacing w:line="560" w:lineRule="exact"/>
        <w:ind w:firstLine="602" w:firstLineChars="200"/>
        <w:jc w:val="left"/>
        <w:rPr>
          <w:rFonts w:hint="eastAsia" w:ascii="仿宋" w:hAnsi="仿宋" w:eastAsia="仿宋"/>
          <w:b/>
          <w:bCs/>
          <w:color w:val="auto"/>
          <w:sz w:val="30"/>
          <w:szCs w:val="30"/>
        </w:rPr>
      </w:pPr>
    </w:p>
    <w:p>
      <w:pPr>
        <w:spacing w:line="560" w:lineRule="exact"/>
        <w:ind w:firstLine="602" w:firstLineChars="200"/>
        <w:jc w:val="left"/>
        <w:rPr>
          <w:rFonts w:hint="eastAsia" w:ascii="仿宋" w:hAnsi="仿宋" w:eastAsia="仿宋"/>
          <w:b/>
          <w:bCs/>
          <w:color w:val="auto"/>
          <w:sz w:val="30"/>
          <w:szCs w:val="30"/>
        </w:rPr>
      </w:pPr>
    </w:p>
    <w:p>
      <w:pPr>
        <w:spacing w:line="560" w:lineRule="exact"/>
        <w:ind w:firstLine="602" w:firstLineChars="200"/>
        <w:jc w:val="left"/>
        <w:rPr>
          <w:rFonts w:ascii="仿宋" w:hAnsi="仿宋" w:eastAsia="仿宋"/>
          <w:color w:val="auto"/>
          <w:sz w:val="30"/>
          <w:szCs w:val="30"/>
        </w:rPr>
      </w:pPr>
      <w:r>
        <w:rPr>
          <w:rFonts w:hint="eastAsia" w:ascii="仿宋" w:hAnsi="仿宋" w:eastAsia="仿宋"/>
          <w:b/>
          <w:bCs/>
          <w:color w:val="auto"/>
          <w:sz w:val="30"/>
          <w:szCs w:val="30"/>
        </w:rPr>
        <w:t>附件</w:t>
      </w:r>
      <w:r>
        <w:rPr>
          <w:rFonts w:hint="eastAsia" w:ascii="仿宋" w:hAnsi="仿宋" w:eastAsia="仿宋"/>
          <w:b/>
          <w:bCs/>
          <w:color w:val="auto"/>
          <w:sz w:val="30"/>
          <w:szCs w:val="30"/>
          <w:lang w:val="en-US" w:eastAsia="zh-CN"/>
        </w:rPr>
        <w:t>二</w:t>
      </w:r>
      <w:r>
        <w:rPr>
          <w:rFonts w:hint="eastAsia" w:ascii="仿宋" w:hAnsi="仿宋" w:eastAsia="仿宋"/>
          <w:b/>
          <w:bCs/>
          <w:color w:val="auto"/>
          <w:sz w:val="30"/>
          <w:szCs w:val="30"/>
        </w:rPr>
        <w:t xml:space="preserve"> </w:t>
      </w:r>
      <w:r>
        <w:rPr>
          <w:rFonts w:ascii="仿宋" w:hAnsi="仿宋" w:eastAsia="仿宋"/>
          <w:b/>
          <w:bCs/>
          <w:color w:val="auto"/>
          <w:sz w:val="30"/>
          <w:szCs w:val="30"/>
        </w:rPr>
        <w:t xml:space="preserve"> </w:t>
      </w:r>
      <w:r>
        <w:rPr>
          <w:rFonts w:hint="eastAsia" w:ascii="仿宋" w:hAnsi="仿宋" w:eastAsia="仿宋"/>
          <w:b/>
          <w:bCs/>
          <w:color w:val="auto"/>
          <w:sz w:val="30"/>
          <w:szCs w:val="30"/>
          <w:lang w:val="en-US" w:eastAsia="zh-CN"/>
        </w:rPr>
        <w:t>专家组审查</w:t>
      </w:r>
      <w:r>
        <w:rPr>
          <w:rFonts w:hint="eastAsia" w:ascii="仿宋" w:hAnsi="仿宋" w:eastAsia="仿宋"/>
          <w:b/>
          <w:bCs/>
          <w:color w:val="auto"/>
          <w:sz w:val="30"/>
          <w:szCs w:val="30"/>
        </w:rPr>
        <w:t>意见</w:t>
      </w:r>
    </w:p>
    <w:p>
      <w:pPr>
        <w:ind w:firstLine="420" w:firstLineChars="200"/>
        <w:jc w:val="both"/>
        <w:rPr>
          <w:rFonts w:hint="eastAsia" w:eastAsia="仿宋"/>
          <w:color w:val="auto"/>
          <w:lang w:val="en-US" w:eastAsia="zh-CN"/>
        </w:rPr>
      </w:pPr>
      <w:r>
        <w:rPr>
          <w:rFonts w:hint="eastAsia" w:eastAsia="仿宋"/>
          <w:color w:val="auto"/>
          <w:lang w:val="en-US" w:eastAsia="zh-CN"/>
        </w:rPr>
        <w:drawing>
          <wp:inline distT="0" distB="0" distL="114300" distR="114300">
            <wp:extent cx="5400040" cy="8275955"/>
            <wp:effectExtent l="0" t="0" r="10160" b="10795"/>
            <wp:docPr id="3" name="图片 3" descr="无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无标题1"/>
                    <pic:cNvPicPr>
                      <a:picLocks noChangeAspect="1"/>
                    </pic:cNvPicPr>
                  </pic:nvPicPr>
                  <pic:blipFill>
                    <a:blip r:embed="rId44"/>
                    <a:srcRect l="30295" r="30167"/>
                    <a:stretch>
                      <a:fillRect/>
                    </a:stretch>
                  </pic:blipFill>
                  <pic:spPr>
                    <a:xfrm>
                      <a:off x="0" y="0"/>
                      <a:ext cx="5400040" cy="8275955"/>
                    </a:xfrm>
                    <a:prstGeom prst="rect">
                      <a:avLst/>
                    </a:prstGeom>
                  </pic:spPr>
                </pic:pic>
              </a:graphicData>
            </a:graphic>
          </wp:inline>
        </w:drawing>
      </w:r>
    </w:p>
    <w:p>
      <w:pPr>
        <w:ind w:firstLine="420" w:firstLineChars="200"/>
        <w:jc w:val="center"/>
        <w:rPr>
          <w:rFonts w:hint="eastAsia" w:eastAsia="仿宋"/>
          <w:color w:val="auto"/>
          <w:lang w:val="en-US" w:eastAsia="zh-CN"/>
        </w:rPr>
        <w:sectPr>
          <w:pgSz w:w="11907" w:h="16840"/>
          <w:pgMar w:top="1588" w:right="1361" w:bottom="1247" w:left="1247" w:header="851" w:footer="992" w:gutter="0"/>
          <w:pgBorders>
            <w:top w:val="none" w:sz="0" w:space="0"/>
            <w:left w:val="none" w:sz="0" w:space="0"/>
            <w:bottom w:val="none" w:sz="0" w:space="0"/>
            <w:right w:val="none" w:sz="0" w:space="0"/>
          </w:pgBorders>
          <w:pgNumType w:fmt="decimal"/>
          <w:cols w:space="425" w:num="1"/>
          <w:docGrid w:linePitch="312" w:charSpace="0"/>
        </w:sectPr>
      </w:pPr>
      <w:r>
        <w:rPr>
          <w:rFonts w:hint="eastAsia" w:eastAsia="仿宋"/>
          <w:color w:val="auto"/>
          <w:lang w:val="en-US" w:eastAsia="zh-CN"/>
        </w:rPr>
        <w:drawing>
          <wp:inline distT="0" distB="0" distL="114300" distR="114300">
            <wp:extent cx="5400040" cy="8524240"/>
            <wp:effectExtent l="0" t="0" r="10160" b="10160"/>
            <wp:docPr id="2" name="图片 2"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无标题"/>
                    <pic:cNvPicPr>
                      <a:picLocks noChangeAspect="1"/>
                    </pic:cNvPicPr>
                  </pic:nvPicPr>
                  <pic:blipFill>
                    <a:blip r:embed="rId45"/>
                    <a:srcRect l="29830" r="30083"/>
                    <a:stretch>
                      <a:fillRect/>
                    </a:stretch>
                  </pic:blipFill>
                  <pic:spPr>
                    <a:xfrm>
                      <a:off x="0" y="0"/>
                      <a:ext cx="5400040" cy="8524240"/>
                    </a:xfrm>
                    <a:prstGeom prst="rect">
                      <a:avLst/>
                    </a:prstGeom>
                  </pic:spPr>
                </pic:pic>
              </a:graphicData>
            </a:graphic>
          </wp:inline>
        </w:drawing>
      </w:r>
      <w:r>
        <w:rPr>
          <w:rFonts w:hint="eastAsia" w:eastAsia="仿宋"/>
          <w:color w:val="auto"/>
          <w:lang w:val="en-US" w:eastAsia="zh-CN"/>
        </w:rPr>
        <w:drawing>
          <wp:inline distT="0" distB="0" distL="114300" distR="114300">
            <wp:extent cx="5400040" cy="6226810"/>
            <wp:effectExtent l="0" t="0" r="10160" b="2540"/>
            <wp:docPr id="5" name="图片 5" descr="无标题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无标题2"/>
                    <pic:cNvPicPr>
                      <a:picLocks noChangeAspect="1"/>
                    </pic:cNvPicPr>
                  </pic:nvPicPr>
                  <pic:blipFill>
                    <a:blip r:embed="rId46"/>
                    <a:srcRect l="29089" r="29757"/>
                    <a:stretch>
                      <a:fillRect/>
                    </a:stretch>
                  </pic:blipFill>
                  <pic:spPr>
                    <a:xfrm>
                      <a:off x="0" y="0"/>
                      <a:ext cx="5400040" cy="6226810"/>
                    </a:xfrm>
                    <a:prstGeom prst="rect">
                      <a:avLst/>
                    </a:prstGeom>
                  </pic:spPr>
                </pic:pic>
              </a:graphicData>
            </a:graphic>
          </wp:inline>
        </w:drawing>
      </w:r>
    </w:p>
    <w:p>
      <w:pPr>
        <w:spacing w:line="560" w:lineRule="exact"/>
        <w:ind w:firstLine="602" w:firstLineChars="200"/>
        <w:jc w:val="center"/>
        <w:rPr>
          <w:rFonts w:hint="eastAsia" w:ascii="仿宋" w:hAnsi="仿宋" w:eastAsia="仿宋"/>
          <w:b/>
          <w:color w:val="auto"/>
          <w:sz w:val="30"/>
          <w:szCs w:val="30"/>
        </w:rPr>
      </w:pPr>
      <w:bookmarkStart w:id="144" w:name="_Toc74054407"/>
      <w:bookmarkStart w:id="145" w:name="_Toc74062900"/>
      <w:r>
        <w:rPr>
          <w:rFonts w:hint="eastAsia" w:ascii="仿宋" w:hAnsi="仿宋" w:eastAsia="仿宋"/>
          <w:b/>
          <w:color w:val="auto"/>
          <w:sz w:val="30"/>
          <w:szCs w:val="30"/>
        </w:rPr>
        <w:t>附表一</w:t>
      </w:r>
      <w:bookmarkEnd w:id="144"/>
      <w:bookmarkEnd w:id="145"/>
      <w:r>
        <w:rPr>
          <w:rFonts w:hint="eastAsia" w:ascii="仿宋" w:hAnsi="仿宋" w:eastAsia="仿宋"/>
          <w:b/>
          <w:color w:val="auto"/>
          <w:sz w:val="30"/>
          <w:szCs w:val="30"/>
        </w:rPr>
        <w:t xml:space="preserve">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“十四五”地质灾害防治经费估算总表</w:t>
      </w:r>
    </w:p>
    <w:tbl>
      <w:tblPr>
        <w:tblStyle w:val="30"/>
        <w:tblW w:w="4998" w:type="pct"/>
        <w:tblInd w:w="0" w:type="dxa"/>
        <w:shd w:val="clear" w:color="auto" w:fill="auto"/>
        <w:tblLayout w:type="autofit"/>
        <w:tblCellMar>
          <w:top w:w="0" w:type="dxa"/>
          <w:left w:w="0" w:type="dxa"/>
          <w:bottom w:w="0" w:type="dxa"/>
          <w:right w:w="0" w:type="dxa"/>
        </w:tblCellMar>
      </w:tblPr>
      <w:tblGrid>
        <w:gridCol w:w="1630"/>
        <w:gridCol w:w="3230"/>
        <w:gridCol w:w="1243"/>
        <w:gridCol w:w="2343"/>
        <w:gridCol w:w="1987"/>
        <w:gridCol w:w="1987"/>
        <w:gridCol w:w="1609"/>
      </w:tblGrid>
      <w:tr>
        <w:tblPrEx>
          <w:tblCellMar>
            <w:top w:w="0" w:type="dxa"/>
            <w:left w:w="0" w:type="dxa"/>
            <w:bottom w:w="0" w:type="dxa"/>
            <w:right w:w="0" w:type="dxa"/>
          </w:tblCellMar>
        </w:tblPrEx>
        <w:trPr>
          <w:trHeight w:val="330" w:hRule="atLeast"/>
        </w:trPr>
        <w:tc>
          <w:tcPr>
            <w:tcW w:w="1630" w:type="dxa"/>
            <w:vMerge w:val="restart"/>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防治任务</w:t>
            </w:r>
          </w:p>
        </w:tc>
        <w:tc>
          <w:tcPr>
            <w:tcW w:w="3230" w:type="dxa"/>
            <w:vMerge w:val="restar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规划任务内容</w:t>
            </w:r>
          </w:p>
        </w:tc>
        <w:tc>
          <w:tcPr>
            <w:tcW w:w="1243" w:type="dxa"/>
            <w:vMerge w:val="restar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时间安排</w:t>
            </w:r>
          </w:p>
        </w:tc>
        <w:tc>
          <w:tcPr>
            <w:tcW w:w="2343" w:type="dxa"/>
            <w:vMerge w:val="restar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工作量及范围</w:t>
            </w:r>
          </w:p>
        </w:tc>
        <w:tc>
          <w:tcPr>
            <w:tcW w:w="1987" w:type="dxa"/>
            <w:vMerge w:val="restar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资金来源</w:t>
            </w:r>
          </w:p>
        </w:tc>
        <w:tc>
          <w:tcPr>
            <w:tcW w:w="1987" w:type="dxa"/>
            <w:tcBorders>
              <w:top w:val="single" w:color="000000" w:sz="8" w:space="0"/>
              <w:left w:val="nil"/>
              <w:bottom w:val="nil"/>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经费估算</w:t>
            </w:r>
          </w:p>
        </w:tc>
        <w:tc>
          <w:tcPr>
            <w:tcW w:w="1609" w:type="dxa"/>
            <w:tcBorders>
              <w:top w:val="single" w:color="000000" w:sz="8" w:space="0"/>
              <w:left w:val="nil"/>
              <w:bottom w:val="nil"/>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合计</w:t>
            </w:r>
          </w:p>
        </w:tc>
      </w:tr>
      <w:tr>
        <w:tblPrEx>
          <w:shd w:val="clear" w:color="auto" w:fill="auto"/>
          <w:tblCellMar>
            <w:top w:w="0" w:type="dxa"/>
            <w:left w:w="0" w:type="dxa"/>
            <w:bottom w:w="0" w:type="dxa"/>
            <w:right w:w="0" w:type="dxa"/>
          </w:tblCellMar>
        </w:tblPrEx>
        <w:trPr>
          <w:trHeight w:val="270" w:hRule="atLeast"/>
        </w:trPr>
        <w:tc>
          <w:tcPr>
            <w:tcW w:w="1630" w:type="dxa"/>
            <w:vMerge w:val="continue"/>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3230" w:type="dxa"/>
            <w:vMerge w:val="continue"/>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243" w:type="dxa"/>
            <w:vMerge w:val="continue"/>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343" w:type="dxa"/>
            <w:vMerge w:val="continue"/>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987" w:type="dxa"/>
            <w:vMerge w:val="continue"/>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(万元）</w:t>
            </w:r>
          </w:p>
        </w:tc>
        <w:tc>
          <w:tcPr>
            <w:tcW w:w="1609"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（万元）</w:t>
            </w:r>
          </w:p>
        </w:tc>
      </w:tr>
      <w:tr>
        <w:tblPrEx>
          <w:tblCellMar>
            <w:top w:w="0" w:type="dxa"/>
            <w:left w:w="0" w:type="dxa"/>
            <w:bottom w:w="0" w:type="dxa"/>
            <w:right w:w="0" w:type="dxa"/>
          </w:tblCellMar>
        </w:tblPrEx>
        <w:trPr>
          <w:trHeight w:val="330" w:hRule="atLeast"/>
        </w:trPr>
        <w:tc>
          <w:tcPr>
            <w:tcW w:w="1630" w:type="dxa"/>
            <w:vMerge w:val="restar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调查评价</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地质灾害隐患遥感识别</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1609" w:type="dxa"/>
            <w:vMerge w:val="restar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515</w:t>
            </w:r>
          </w:p>
        </w:tc>
      </w:tr>
      <w:tr>
        <w:tblPrEx>
          <w:shd w:val="clear" w:color="auto" w:fill="auto"/>
          <w:tblCellMar>
            <w:top w:w="0" w:type="dxa"/>
            <w:left w:w="0" w:type="dxa"/>
            <w:bottom w:w="0" w:type="dxa"/>
            <w:right w:w="0" w:type="dxa"/>
          </w:tblCellMar>
        </w:tblPrEx>
        <w:trPr>
          <w:trHeight w:val="255" w:hRule="atLeast"/>
        </w:trPr>
        <w:tc>
          <w:tcPr>
            <w:tcW w:w="163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1:5万县级地质灾害风险调查评价</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2021-2023</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320</w:t>
            </w:r>
          </w:p>
        </w:tc>
        <w:tc>
          <w:tcPr>
            <w:tcW w:w="1609"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70" w:hRule="atLeast"/>
        </w:trPr>
        <w:tc>
          <w:tcPr>
            <w:tcW w:w="163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重点乡镇1:1万地质灾害详细调查</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1个乡镇</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c>
          <w:tcPr>
            <w:tcW w:w="1609"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40" w:hRule="atLeast"/>
        </w:trPr>
        <w:tc>
          <w:tcPr>
            <w:tcW w:w="1630" w:type="dxa"/>
            <w:vMerge w:val="continue"/>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地质灾害“三查”工作</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县级财政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75</w:t>
            </w:r>
          </w:p>
        </w:tc>
        <w:tc>
          <w:tcPr>
            <w:tcW w:w="1609"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15"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监测预警</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雨量站点建设与维护</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14个站点</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16.8</w:t>
            </w:r>
          </w:p>
        </w:tc>
        <w:tc>
          <w:tcPr>
            <w:tcW w:w="1609" w:type="dxa"/>
            <w:vMerge w:val="restar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149.3</w:t>
            </w:r>
          </w:p>
        </w:tc>
      </w:tr>
      <w:tr>
        <w:tblPrEx>
          <w:shd w:val="clear" w:color="auto" w:fill="auto"/>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地质灾害监测设备安装</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55个站点</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82.5</w:t>
            </w:r>
          </w:p>
        </w:tc>
        <w:tc>
          <w:tcPr>
            <w:tcW w:w="1609"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网格化体系建设</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c>
          <w:tcPr>
            <w:tcW w:w="1609"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利用市级地质灾害气象预报预警平台</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1个</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w:t>
            </w:r>
          </w:p>
        </w:tc>
        <w:tc>
          <w:tcPr>
            <w:tcW w:w="1609" w:type="dxa"/>
            <w:vMerge w:val="continue"/>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15" w:hRule="atLeast"/>
        </w:trPr>
        <w:tc>
          <w:tcPr>
            <w:tcW w:w="1630" w:type="dxa"/>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搬迁避让</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地质灾害搬迁避让</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14个隐患点</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574</w:t>
            </w:r>
          </w:p>
        </w:tc>
        <w:tc>
          <w:tcPr>
            <w:tcW w:w="1609"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574</w:t>
            </w:r>
          </w:p>
        </w:tc>
      </w:tr>
      <w:tr>
        <w:tblPrEx>
          <w:tblCellMar>
            <w:top w:w="0" w:type="dxa"/>
            <w:left w:w="0" w:type="dxa"/>
            <w:bottom w:w="0" w:type="dxa"/>
            <w:right w:w="0" w:type="dxa"/>
          </w:tblCellMar>
        </w:tblPrEx>
        <w:trPr>
          <w:trHeight w:val="24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工程治理</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地质灾害治理工程</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10个隐患点</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2000</w:t>
            </w:r>
          </w:p>
        </w:tc>
        <w:tc>
          <w:tcPr>
            <w:tcW w:w="1609" w:type="dxa"/>
            <w:vMerge w:val="restar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2060</w:t>
            </w:r>
          </w:p>
        </w:tc>
      </w:tr>
      <w:tr>
        <w:tblPrEx>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地质灾害排危除险</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3个隐患点</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60</w:t>
            </w:r>
          </w:p>
        </w:tc>
        <w:tc>
          <w:tcPr>
            <w:tcW w:w="1609"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4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基层防灾能力建设</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基层防灾能力建设</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c>
          <w:tcPr>
            <w:tcW w:w="1609" w:type="dxa"/>
            <w:vMerge w:val="restar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120</w:t>
            </w:r>
          </w:p>
        </w:tc>
      </w:tr>
      <w:tr>
        <w:tblPrEx>
          <w:tblCellMar>
            <w:top w:w="0" w:type="dxa"/>
            <w:left w:w="0" w:type="dxa"/>
            <w:bottom w:w="0" w:type="dxa"/>
            <w:right w:w="0" w:type="dxa"/>
          </w:tblCellMar>
        </w:tblPrEx>
        <w:trPr>
          <w:trHeight w:val="240"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法规建设、地灾科普宣传</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县级财政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1609" w:type="dxa"/>
            <w:vMerge w:val="continue"/>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240" w:hRule="atLeast"/>
        </w:trPr>
        <w:tc>
          <w:tcPr>
            <w:tcW w:w="1630" w:type="dxa"/>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信息化建设</w:t>
            </w:r>
          </w:p>
        </w:tc>
        <w:tc>
          <w:tcPr>
            <w:tcW w:w="3230"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地质灾害信息化</w:t>
            </w:r>
          </w:p>
        </w:tc>
        <w:tc>
          <w:tcPr>
            <w:tcW w:w="12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2343"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全县</w:t>
            </w:r>
          </w:p>
        </w:tc>
        <w:tc>
          <w:tcPr>
            <w:tcW w:w="1987" w:type="dxa"/>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c>
          <w:tcPr>
            <w:tcW w:w="1609"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r>
      <w:tr>
        <w:tblPrEx>
          <w:tblCellMar>
            <w:top w:w="0" w:type="dxa"/>
            <w:left w:w="0" w:type="dxa"/>
            <w:bottom w:w="0" w:type="dxa"/>
            <w:right w:w="0" w:type="dxa"/>
          </w:tblCellMar>
        </w:tblPrEx>
        <w:trPr>
          <w:trHeight w:val="315" w:hRule="atLeast"/>
        </w:trPr>
        <w:tc>
          <w:tcPr>
            <w:tcW w:w="8446" w:type="dxa"/>
            <w:gridSpan w:val="4"/>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  计</w:t>
            </w: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987"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3468.3</w:t>
            </w:r>
          </w:p>
        </w:tc>
        <w:tc>
          <w:tcPr>
            <w:tcW w:w="1609" w:type="dxa"/>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3468.3</w:t>
            </w:r>
          </w:p>
        </w:tc>
      </w:tr>
    </w:tbl>
    <w:p>
      <w:pPr>
        <w:spacing w:line="560" w:lineRule="exact"/>
        <w:ind w:firstLine="602" w:firstLineChars="200"/>
        <w:jc w:val="center"/>
        <w:rPr>
          <w:rFonts w:hint="eastAsia" w:ascii="仿宋" w:hAnsi="仿宋" w:eastAsia="仿宋"/>
          <w:b/>
          <w:color w:val="auto"/>
          <w:sz w:val="30"/>
          <w:szCs w:val="30"/>
        </w:rPr>
      </w:pPr>
    </w:p>
    <w:p>
      <w:pPr>
        <w:spacing w:line="560" w:lineRule="exact"/>
        <w:ind w:firstLine="602" w:firstLineChars="200"/>
        <w:jc w:val="center"/>
        <w:rPr>
          <w:rFonts w:hint="eastAsia" w:ascii="仿宋" w:hAnsi="仿宋" w:eastAsia="仿宋"/>
          <w:b/>
          <w:color w:val="auto"/>
          <w:sz w:val="30"/>
          <w:szCs w:val="30"/>
        </w:rPr>
      </w:pPr>
    </w:p>
    <w:p>
      <w:pPr>
        <w:spacing w:line="560" w:lineRule="exact"/>
        <w:ind w:firstLine="602" w:firstLineChars="200"/>
        <w:jc w:val="center"/>
        <w:rPr>
          <w:rFonts w:hint="eastAsia" w:ascii="仿宋" w:hAnsi="仿宋" w:eastAsia="仿宋"/>
          <w:b/>
          <w:color w:val="auto"/>
          <w:sz w:val="30"/>
          <w:szCs w:val="30"/>
        </w:rPr>
      </w:pPr>
    </w:p>
    <w:p>
      <w:pPr>
        <w:spacing w:line="560" w:lineRule="exact"/>
        <w:ind w:firstLine="602" w:firstLineChars="200"/>
        <w:jc w:val="center"/>
        <w:rPr>
          <w:rFonts w:hint="eastAsia" w:ascii="仿宋" w:hAnsi="仿宋" w:eastAsia="仿宋"/>
          <w:b/>
          <w:color w:val="auto"/>
          <w:sz w:val="30"/>
          <w:szCs w:val="30"/>
        </w:rPr>
      </w:pPr>
    </w:p>
    <w:p>
      <w:pPr>
        <w:spacing w:line="560" w:lineRule="exact"/>
        <w:ind w:firstLine="602" w:firstLineChars="200"/>
        <w:jc w:val="center"/>
        <w:rPr>
          <w:rFonts w:hint="eastAsia" w:ascii="仿宋" w:hAnsi="仿宋" w:eastAsia="仿宋"/>
          <w:b/>
          <w:color w:val="auto"/>
          <w:sz w:val="30"/>
          <w:szCs w:val="30"/>
        </w:rPr>
      </w:pPr>
    </w:p>
    <w:p>
      <w:pPr>
        <w:spacing w:line="560" w:lineRule="exact"/>
        <w:ind w:firstLine="602" w:firstLineChars="200"/>
        <w:jc w:val="center"/>
        <w:rPr>
          <w:rFonts w:hint="eastAsia" w:ascii="仿宋" w:hAnsi="仿宋" w:eastAsia="仿宋"/>
          <w:b/>
          <w:color w:val="auto"/>
          <w:sz w:val="30"/>
          <w:szCs w:val="30"/>
        </w:rPr>
      </w:pPr>
    </w:p>
    <w:p>
      <w:pPr>
        <w:spacing w:line="560" w:lineRule="exact"/>
        <w:ind w:firstLine="602" w:firstLineChars="200"/>
        <w:jc w:val="center"/>
        <w:rPr>
          <w:rFonts w:ascii="仿宋" w:hAnsi="仿宋" w:eastAsia="仿宋"/>
          <w:b/>
          <w:color w:val="auto"/>
          <w:sz w:val="30"/>
          <w:szCs w:val="30"/>
        </w:rPr>
      </w:pPr>
      <w:r>
        <w:rPr>
          <w:rFonts w:hint="eastAsia" w:ascii="仿宋" w:hAnsi="仿宋" w:eastAsia="仿宋"/>
          <w:b/>
          <w:color w:val="auto"/>
          <w:sz w:val="30"/>
          <w:szCs w:val="30"/>
        </w:rPr>
        <w:t xml:space="preserve">附表二 </w:t>
      </w:r>
      <w:r>
        <w:rPr>
          <w:rFonts w:hint="eastAsia" w:ascii="仿宋" w:hAnsi="仿宋" w:eastAsia="仿宋"/>
          <w:b/>
          <w:color w:val="auto"/>
          <w:sz w:val="30"/>
          <w:szCs w:val="30"/>
          <w:highlight w:val="none"/>
        </w:rPr>
        <w:t xml:space="preserve"> </w:t>
      </w:r>
      <w:r>
        <w:rPr>
          <w:rFonts w:hint="eastAsia" w:ascii="仿宋" w:hAnsi="仿宋" w:eastAsia="仿宋"/>
          <w:b/>
          <w:color w:val="auto"/>
          <w:sz w:val="30"/>
          <w:szCs w:val="30"/>
          <w:highlight w:val="none"/>
          <w:lang w:val="en-US" w:eastAsia="zh-CN"/>
        </w:rPr>
        <w:t>东至县</w:t>
      </w:r>
      <w:r>
        <w:rPr>
          <w:rFonts w:hint="eastAsia" w:ascii="仿宋" w:hAnsi="仿宋" w:eastAsia="仿宋"/>
          <w:b/>
          <w:color w:val="auto"/>
          <w:sz w:val="30"/>
          <w:szCs w:val="30"/>
        </w:rPr>
        <w:t>“十四五”调查评价项目安排及经费估算表</w:t>
      </w:r>
    </w:p>
    <w:tbl>
      <w:tblPr>
        <w:tblStyle w:val="30"/>
        <w:tblW w:w="4997" w:type="pct"/>
        <w:tblInd w:w="0" w:type="dxa"/>
        <w:shd w:val="clear" w:color="auto" w:fill="auto"/>
        <w:tblLayout w:type="autofit"/>
        <w:tblCellMar>
          <w:top w:w="0" w:type="dxa"/>
          <w:left w:w="0" w:type="dxa"/>
          <w:bottom w:w="0" w:type="dxa"/>
          <w:right w:w="0" w:type="dxa"/>
        </w:tblCellMar>
      </w:tblPr>
      <w:tblGrid>
        <w:gridCol w:w="852"/>
        <w:gridCol w:w="6022"/>
        <w:gridCol w:w="1855"/>
        <w:gridCol w:w="3252"/>
        <w:gridCol w:w="2046"/>
      </w:tblGrid>
      <w:tr>
        <w:tblPrEx>
          <w:shd w:val="clear" w:color="auto" w:fill="auto"/>
          <w:tblCellMar>
            <w:top w:w="0" w:type="dxa"/>
            <w:left w:w="0" w:type="dxa"/>
            <w:bottom w:w="0" w:type="dxa"/>
            <w:right w:w="0" w:type="dxa"/>
          </w:tblCellMar>
        </w:tblPrEx>
        <w:trPr>
          <w:trHeight w:val="23" w:hRule="atLeast"/>
        </w:trPr>
        <w:tc>
          <w:tcPr>
            <w:tcW w:w="304" w:type="pct"/>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序号</w:t>
            </w:r>
          </w:p>
        </w:tc>
        <w:tc>
          <w:tcPr>
            <w:tcW w:w="2146"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项目名称</w:t>
            </w:r>
          </w:p>
        </w:tc>
        <w:tc>
          <w:tcPr>
            <w:tcW w:w="660"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工作年度</w:t>
            </w:r>
          </w:p>
        </w:tc>
        <w:tc>
          <w:tcPr>
            <w:tcW w:w="1159"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经费估算（万元）</w:t>
            </w:r>
          </w:p>
        </w:tc>
        <w:tc>
          <w:tcPr>
            <w:tcW w:w="729"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备注</w:t>
            </w:r>
          </w:p>
        </w:tc>
      </w:tr>
      <w:tr>
        <w:tblPrEx>
          <w:shd w:val="clear" w:color="auto" w:fill="auto"/>
          <w:tblCellMar>
            <w:top w:w="0" w:type="dxa"/>
            <w:left w:w="0" w:type="dxa"/>
            <w:bottom w:w="0" w:type="dxa"/>
            <w:right w:w="0" w:type="dxa"/>
          </w:tblCellMar>
        </w:tblPrEx>
        <w:trPr>
          <w:trHeight w:val="23" w:hRule="atLeast"/>
        </w:trPr>
        <w:tc>
          <w:tcPr>
            <w:tcW w:w="304"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2146"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地质灾害隐患遥感识别</w:t>
            </w:r>
          </w:p>
        </w:tc>
        <w:tc>
          <w:tcPr>
            <w:tcW w:w="660"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1159"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7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r>
      <w:tr>
        <w:tblPrEx>
          <w:shd w:val="clear" w:color="auto" w:fill="auto"/>
          <w:tblCellMar>
            <w:top w:w="0" w:type="dxa"/>
            <w:left w:w="0" w:type="dxa"/>
            <w:bottom w:w="0" w:type="dxa"/>
            <w:right w:w="0" w:type="dxa"/>
          </w:tblCellMar>
        </w:tblPrEx>
        <w:trPr>
          <w:trHeight w:val="23" w:hRule="atLeast"/>
        </w:trPr>
        <w:tc>
          <w:tcPr>
            <w:tcW w:w="304"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lang w:val="en-US" w:eastAsia="zh-CN"/>
              </w:rPr>
            </w:pPr>
            <w:r>
              <w:rPr>
                <w:rFonts w:hint="eastAsia" w:ascii="宋体" w:hAnsi="宋体" w:eastAsia="宋体" w:cs="宋体"/>
                <w:i w:val="0"/>
                <w:color w:val="auto"/>
                <w:sz w:val="20"/>
                <w:szCs w:val="20"/>
                <w:u w:val="none"/>
                <w:lang w:val="en-US" w:eastAsia="zh-CN"/>
              </w:rPr>
              <w:t>2</w:t>
            </w:r>
          </w:p>
        </w:tc>
        <w:tc>
          <w:tcPr>
            <w:tcW w:w="214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1:5万县级地质灾害风险调查评价</w:t>
            </w:r>
          </w:p>
        </w:tc>
        <w:tc>
          <w:tcPr>
            <w:tcW w:w="660"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2021-2023</w:t>
            </w:r>
          </w:p>
        </w:tc>
        <w:tc>
          <w:tcPr>
            <w:tcW w:w="115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320</w:t>
            </w:r>
          </w:p>
        </w:tc>
        <w:tc>
          <w:tcPr>
            <w:tcW w:w="7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省级财政</w:t>
            </w:r>
          </w:p>
        </w:tc>
      </w:tr>
      <w:tr>
        <w:tblPrEx>
          <w:shd w:val="clear" w:color="auto" w:fill="auto"/>
          <w:tblCellMar>
            <w:top w:w="0" w:type="dxa"/>
            <w:left w:w="0" w:type="dxa"/>
            <w:bottom w:w="0" w:type="dxa"/>
            <w:right w:w="0" w:type="dxa"/>
          </w:tblCellMar>
        </w:tblPrEx>
        <w:trPr>
          <w:trHeight w:val="23" w:hRule="atLeast"/>
        </w:trPr>
        <w:tc>
          <w:tcPr>
            <w:tcW w:w="304"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cs="宋体"/>
                <w:i w:val="0"/>
                <w:color w:val="auto"/>
                <w:kern w:val="0"/>
                <w:sz w:val="20"/>
                <w:szCs w:val="20"/>
                <w:u w:val="none"/>
                <w:lang w:val="en-US" w:eastAsia="zh-CN" w:bidi="ar"/>
              </w:rPr>
              <w:t>3</w:t>
            </w:r>
          </w:p>
        </w:tc>
        <w:tc>
          <w:tcPr>
            <w:tcW w:w="2146"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重点乡镇1:1万地质灾害详细调查</w:t>
            </w:r>
          </w:p>
        </w:tc>
        <w:tc>
          <w:tcPr>
            <w:tcW w:w="660"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115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c>
          <w:tcPr>
            <w:tcW w:w="729"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r>
      <w:tr>
        <w:tblPrEx>
          <w:shd w:val="clear" w:color="auto" w:fill="auto"/>
          <w:tblCellMar>
            <w:top w:w="0" w:type="dxa"/>
            <w:left w:w="0" w:type="dxa"/>
            <w:bottom w:w="0" w:type="dxa"/>
            <w:right w:w="0" w:type="dxa"/>
          </w:tblCellMar>
        </w:tblPrEx>
        <w:trPr>
          <w:trHeight w:val="23" w:hRule="atLeast"/>
        </w:trPr>
        <w:tc>
          <w:tcPr>
            <w:tcW w:w="304"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cs="宋体"/>
                <w:i w:val="0"/>
                <w:color w:val="auto"/>
                <w:kern w:val="0"/>
                <w:sz w:val="20"/>
                <w:szCs w:val="20"/>
                <w:u w:val="none"/>
                <w:lang w:val="en-US" w:eastAsia="zh-CN" w:bidi="ar"/>
              </w:rPr>
              <w:t>4</w:t>
            </w:r>
          </w:p>
        </w:tc>
        <w:tc>
          <w:tcPr>
            <w:tcW w:w="2146"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地质灾害“三查”</w:t>
            </w:r>
          </w:p>
        </w:tc>
        <w:tc>
          <w:tcPr>
            <w:tcW w:w="660"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15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75</w:t>
            </w:r>
          </w:p>
        </w:tc>
        <w:tc>
          <w:tcPr>
            <w:tcW w:w="729" w:type="pct"/>
            <w:tcBorders>
              <w:top w:val="nil"/>
              <w:left w:val="nil"/>
              <w:bottom w:val="nil"/>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县级财政</w:t>
            </w:r>
          </w:p>
        </w:tc>
      </w:tr>
      <w:tr>
        <w:tblPrEx>
          <w:shd w:val="clear" w:color="auto" w:fill="auto"/>
          <w:tblCellMar>
            <w:top w:w="0" w:type="dxa"/>
            <w:left w:w="0" w:type="dxa"/>
            <w:bottom w:w="0" w:type="dxa"/>
            <w:right w:w="0" w:type="dxa"/>
          </w:tblCellMar>
        </w:tblPrEx>
        <w:trPr>
          <w:trHeight w:val="23" w:hRule="atLeast"/>
        </w:trPr>
        <w:tc>
          <w:tcPr>
            <w:tcW w:w="3111" w:type="pct"/>
            <w:gridSpan w:val="3"/>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合计</w:t>
            </w:r>
          </w:p>
        </w:tc>
        <w:tc>
          <w:tcPr>
            <w:tcW w:w="115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515</w:t>
            </w:r>
          </w:p>
        </w:tc>
        <w:tc>
          <w:tcPr>
            <w:tcW w:w="729" w:type="pct"/>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bl>
    <w:p>
      <w:pPr>
        <w:spacing w:line="560" w:lineRule="exact"/>
        <w:ind w:firstLine="602" w:firstLineChars="200"/>
        <w:jc w:val="center"/>
        <w:rPr>
          <w:rFonts w:ascii="仿宋" w:hAnsi="仿宋" w:eastAsia="仿宋"/>
          <w:b/>
          <w:color w:val="auto"/>
          <w:sz w:val="30"/>
          <w:szCs w:val="30"/>
        </w:rPr>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spacing w:line="560" w:lineRule="exact"/>
        <w:ind w:firstLine="602" w:firstLineChars="200"/>
        <w:jc w:val="center"/>
        <w:rPr>
          <w:rFonts w:ascii="仿宋" w:hAnsi="仿宋" w:eastAsia="仿宋"/>
          <w:b/>
          <w:color w:val="auto"/>
          <w:sz w:val="30"/>
          <w:szCs w:val="30"/>
        </w:rPr>
      </w:pPr>
      <w:r>
        <w:rPr>
          <w:rFonts w:hint="eastAsia" w:ascii="仿宋" w:hAnsi="仿宋" w:eastAsia="仿宋"/>
          <w:b/>
          <w:color w:val="auto"/>
          <w:sz w:val="30"/>
          <w:szCs w:val="30"/>
        </w:rPr>
        <w:t xml:space="preserve">附表三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 xml:space="preserve"> “十四五”地质灾害监测预警项目安排及经费估算表</w:t>
      </w:r>
    </w:p>
    <w:tbl>
      <w:tblPr>
        <w:tblStyle w:val="30"/>
        <w:tblW w:w="4998" w:type="pct"/>
        <w:tblInd w:w="0" w:type="dxa"/>
        <w:shd w:val="clear" w:color="auto" w:fill="auto"/>
        <w:tblLayout w:type="autofit"/>
        <w:tblCellMar>
          <w:top w:w="0" w:type="dxa"/>
          <w:left w:w="0" w:type="dxa"/>
          <w:bottom w:w="0" w:type="dxa"/>
          <w:right w:w="0" w:type="dxa"/>
        </w:tblCellMar>
      </w:tblPr>
      <w:tblGrid>
        <w:gridCol w:w="1557"/>
        <w:gridCol w:w="3230"/>
        <w:gridCol w:w="1257"/>
        <w:gridCol w:w="2355"/>
        <w:gridCol w:w="2005"/>
        <w:gridCol w:w="2002"/>
        <w:gridCol w:w="1623"/>
      </w:tblGrid>
      <w:tr>
        <w:tblPrEx>
          <w:shd w:val="clear" w:color="auto" w:fill="auto"/>
          <w:tblCellMar>
            <w:top w:w="0" w:type="dxa"/>
            <w:left w:w="0" w:type="dxa"/>
            <w:bottom w:w="0" w:type="dxa"/>
            <w:right w:w="0" w:type="dxa"/>
          </w:tblCellMar>
        </w:tblPrEx>
        <w:trPr>
          <w:trHeight w:val="255" w:hRule="atLeast"/>
        </w:trPr>
        <w:tc>
          <w:tcPr>
            <w:tcW w:w="563" w:type="pct"/>
            <w:tcBorders>
              <w:top w:val="single" w:color="000000" w:sz="8" w:space="0"/>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序号</w:t>
            </w:r>
          </w:p>
        </w:tc>
        <w:tc>
          <w:tcPr>
            <w:tcW w:w="1103"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名称</w:t>
            </w:r>
          </w:p>
        </w:tc>
        <w:tc>
          <w:tcPr>
            <w:tcW w:w="456"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单位（个）</w:t>
            </w:r>
          </w:p>
        </w:tc>
        <w:tc>
          <w:tcPr>
            <w:tcW w:w="847"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单价（万元）</w:t>
            </w:r>
          </w:p>
        </w:tc>
        <w:tc>
          <w:tcPr>
            <w:tcW w:w="721"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工作年度</w:t>
            </w:r>
          </w:p>
        </w:tc>
        <w:tc>
          <w:tcPr>
            <w:tcW w:w="721"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总费用(万元）</w:t>
            </w:r>
          </w:p>
        </w:tc>
        <w:tc>
          <w:tcPr>
            <w:tcW w:w="586"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备注</w:t>
            </w:r>
          </w:p>
        </w:tc>
      </w:tr>
      <w:tr>
        <w:tblPrEx>
          <w:shd w:val="clear" w:color="auto" w:fill="auto"/>
          <w:tblCellMar>
            <w:top w:w="0" w:type="dxa"/>
            <w:left w:w="0" w:type="dxa"/>
            <w:bottom w:w="0" w:type="dxa"/>
            <w:right w:w="0" w:type="dxa"/>
          </w:tblCellMar>
        </w:tblPrEx>
        <w:trPr>
          <w:trHeight w:val="255" w:hRule="atLeast"/>
        </w:trPr>
        <w:tc>
          <w:tcPr>
            <w:tcW w:w="563"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1103"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雨量站点建设与维护</w:t>
            </w:r>
          </w:p>
        </w:tc>
        <w:tc>
          <w:tcPr>
            <w:tcW w:w="45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c>
          <w:tcPr>
            <w:tcW w:w="847"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16.8</w:t>
            </w:r>
          </w:p>
        </w:tc>
        <w:tc>
          <w:tcPr>
            <w:tcW w:w="58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　</w:t>
            </w:r>
          </w:p>
        </w:tc>
      </w:tr>
      <w:tr>
        <w:tblPrEx>
          <w:shd w:val="clear" w:color="auto" w:fill="auto"/>
          <w:tblCellMar>
            <w:top w:w="0" w:type="dxa"/>
            <w:left w:w="0" w:type="dxa"/>
            <w:bottom w:w="0" w:type="dxa"/>
            <w:right w:w="0" w:type="dxa"/>
          </w:tblCellMar>
        </w:tblPrEx>
        <w:trPr>
          <w:trHeight w:val="255" w:hRule="atLeast"/>
        </w:trPr>
        <w:tc>
          <w:tcPr>
            <w:tcW w:w="563"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1103"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地质灾害监测设备安装</w:t>
            </w:r>
          </w:p>
        </w:tc>
        <w:tc>
          <w:tcPr>
            <w:tcW w:w="45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55</w:t>
            </w:r>
          </w:p>
        </w:tc>
        <w:tc>
          <w:tcPr>
            <w:tcW w:w="847"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82.5</w:t>
            </w:r>
          </w:p>
        </w:tc>
        <w:tc>
          <w:tcPr>
            <w:tcW w:w="58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省财政　</w:t>
            </w:r>
          </w:p>
        </w:tc>
      </w:tr>
      <w:tr>
        <w:tblPrEx>
          <w:shd w:val="clear" w:color="auto" w:fill="auto"/>
          <w:tblCellMar>
            <w:top w:w="0" w:type="dxa"/>
            <w:left w:w="0" w:type="dxa"/>
            <w:bottom w:w="0" w:type="dxa"/>
            <w:right w:w="0" w:type="dxa"/>
          </w:tblCellMar>
        </w:tblPrEx>
        <w:trPr>
          <w:trHeight w:val="255" w:hRule="atLeast"/>
        </w:trPr>
        <w:tc>
          <w:tcPr>
            <w:tcW w:w="563"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auto"/>
                <w:sz w:val="20"/>
                <w:szCs w:val="20"/>
                <w:u w:val="none"/>
              </w:rPr>
            </w:pPr>
            <w:r>
              <w:rPr>
                <w:rFonts w:hint="eastAsia" w:ascii="宋体" w:hAnsi="宋体" w:eastAsia="宋体" w:cs="宋体"/>
                <w:b w:val="0"/>
                <w:bCs/>
                <w:i w:val="0"/>
                <w:color w:val="auto"/>
                <w:kern w:val="0"/>
                <w:sz w:val="20"/>
                <w:szCs w:val="20"/>
                <w:u w:val="none"/>
                <w:lang w:val="en-US" w:eastAsia="zh-CN" w:bidi="ar"/>
              </w:rPr>
              <w:t>3</w:t>
            </w:r>
          </w:p>
        </w:tc>
        <w:tc>
          <w:tcPr>
            <w:tcW w:w="1103"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网格化体系建设</w:t>
            </w:r>
          </w:p>
        </w:tc>
        <w:tc>
          <w:tcPr>
            <w:tcW w:w="45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47"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50</w:t>
            </w:r>
          </w:p>
        </w:tc>
        <w:tc>
          <w:tcPr>
            <w:tcW w:w="58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　</w:t>
            </w:r>
          </w:p>
        </w:tc>
      </w:tr>
      <w:tr>
        <w:tblPrEx>
          <w:shd w:val="clear" w:color="auto" w:fill="auto"/>
          <w:tblCellMar>
            <w:top w:w="0" w:type="dxa"/>
            <w:left w:w="0" w:type="dxa"/>
            <w:bottom w:w="0" w:type="dxa"/>
            <w:right w:w="0" w:type="dxa"/>
          </w:tblCellMar>
        </w:tblPrEx>
        <w:trPr>
          <w:trHeight w:val="255" w:hRule="atLeast"/>
        </w:trPr>
        <w:tc>
          <w:tcPr>
            <w:tcW w:w="563" w:type="pct"/>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val="0"/>
                <w:bCs/>
                <w:i w:val="0"/>
                <w:color w:val="auto"/>
                <w:sz w:val="20"/>
                <w:szCs w:val="20"/>
                <w:u w:val="none"/>
              </w:rPr>
            </w:pPr>
            <w:r>
              <w:rPr>
                <w:rFonts w:hint="eastAsia" w:ascii="宋体" w:hAnsi="宋体" w:eastAsia="宋体" w:cs="宋体"/>
                <w:b w:val="0"/>
                <w:bCs/>
                <w:i w:val="0"/>
                <w:color w:val="auto"/>
                <w:kern w:val="0"/>
                <w:sz w:val="20"/>
                <w:szCs w:val="20"/>
                <w:u w:val="none"/>
                <w:lang w:val="en-US" w:eastAsia="zh-CN" w:bidi="ar"/>
              </w:rPr>
              <w:t>4</w:t>
            </w:r>
          </w:p>
        </w:tc>
        <w:tc>
          <w:tcPr>
            <w:tcW w:w="1103"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利用市级地质灾害气象预报预警平台</w:t>
            </w:r>
          </w:p>
        </w:tc>
        <w:tc>
          <w:tcPr>
            <w:tcW w:w="45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847"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w:t>
            </w:r>
          </w:p>
        </w:tc>
        <w:tc>
          <w:tcPr>
            <w:tcW w:w="58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w:t>
            </w:r>
          </w:p>
        </w:tc>
      </w:tr>
      <w:tr>
        <w:tblPrEx>
          <w:shd w:val="clear" w:color="auto" w:fill="auto"/>
          <w:tblCellMar>
            <w:top w:w="0" w:type="dxa"/>
            <w:left w:w="0" w:type="dxa"/>
            <w:bottom w:w="0" w:type="dxa"/>
            <w:right w:w="0" w:type="dxa"/>
          </w:tblCellMar>
        </w:tblPrEx>
        <w:trPr>
          <w:trHeight w:val="315" w:hRule="atLeast"/>
        </w:trPr>
        <w:tc>
          <w:tcPr>
            <w:tcW w:w="3691" w:type="pct"/>
            <w:gridSpan w:val="5"/>
            <w:tcBorders>
              <w:top w:val="nil"/>
              <w:left w:val="single" w:color="000000" w:sz="8" w:space="0"/>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合计</w:t>
            </w:r>
          </w:p>
        </w:tc>
        <w:tc>
          <w:tcPr>
            <w:tcW w:w="721"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149.3</w:t>
            </w:r>
          </w:p>
        </w:tc>
        <w:tc>
          <w:tcPr>
            <w:tcW w:w="586"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bl>
    <w:p>
      <w:pPr>
        <w:spacing w:line="560" w:lineRule="exact"/>
        <w:ind w:firstLine="602" w:firstLineChars="200"/>
        <w:jc w:val="center"/>
        <w:rPr>
          <w:rFonts w:ascii="仿宋" w:hAnsi="仿宋" w:eastAsia="仿宋"/>
          <w:b/>
          <w:color w:val="auto"/>
          <w:sz w:val="30"/>
          <w:szCs w:val="30"/>
        </w:rPr>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spacing w:line="560" w:lineRule="exact"/>
        <w:ind w:firstLine="600" w:firstLineChars="200"/>
        <w:jc w:val="center"/>
        <w:rPr>
          <w:rFonts w:hint="eastAsia" w:ascii="仿宋" w:hAnsi="仿宋" w:eastAsia="仿宋"/>
          <w:b/>
          <w:color w:val="auto"/>
          <w:sz w:val="30"/>
          <w:szCs w:val="30"/>
        </w:rPr>
      </w:pPr>
      <w:r>
        <w:rPr>
          <w:rFonts w:hint="eastAsia" w:ascii="仿宋" w:hAnsi="仿宋" w:eastAsia="仿宋"/>
          <w:b/>
          <w:color w:val="auto"/>
          <w:sz w:val="30"/>
          <w:szCs w:val="30"/>
        </w:rPr>
        <w:t>附表四</w:t>
      </w:r>
      <w:r>
        <w:rPr>
          <w:rFonts w:ascii="仿宋" w:hAnsi="仿宋" w:eastAsia="仿宋"/>
          <w:b/>
          <w:color w:val="auto"/>
          <w:sz w:val="30"/>
          <w:szCs w:val="30"/>
        </w:rPr>
        <w:t xml:space="preserve">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“十四五”地质灾害</w:t>
      </w:r>
      <w:r>
        <w:rPr>
          <w:rFonts w:ascii="仿宋" w:hAnsi="仿宋" w:eastAsia="仿宋"/>
          <w:b/>
          <w:color w:val="auto"/>
          <w:sz w:val="30"/>
          <w:szCs w:val="30"/>
        </w:rPr>
        <w:t>搬迁避让</w:t>
      </w:r>
      <w:r>
        <w:rPr>
          <w:rFonts w:hint="eastAsia" w:ascii="仿宋" w:hAnsi="仿宋" w:eastAsia="仿宋"/>
          <w:b/>
          <w:color w:val="auto"/>
          <w:sz w:val="30"/>
          <w:szCs w:val="30"/>
        </w:rPr>
        <w:t>项目估算表</w:t>
      </w:r>
    </w:p>
    <w:tbl>
      <w:tblPr>
        <w:tblStyle w:val="30"/>
        <w:tblW w:w="4997" w:type="pct"/>
        <w:tblInd w:w="0" w:type="dxa"/>
        <w:shd w:val="clear" w:color="auto" w:fill="auto"/>
        <w:tblLayout w:type="autofit"/>
        <w:tblCellMar>
          <w:top w:w="0" w:type="dxa"/>
          <w:left w:w="0" w:type="dxa"/>
          <w:bottom w:w="0" w:type="dxa"/>
          <w:right w:w="0" w:type="dxa"/>
        </w:tblCellMar>
      </w:tblPr>
      <w:tblGrid>
        <w:gridCol w:w="401"/>
        <w:gridCol w:w="1261"/>
        <w:gridCol w:w="838"/>
        <w:gridCol w:w="926"/>
        <w:gridCol w:w="1452"/>
        <w:gridCol w:w="1993"/>
        <w:gridCol w:w="622"/>
        <w:gridCol w:w="231"/>
        <w:gridCol w:w="231"/>
        <w:gridCol w:w="709"/>
        <w:gridCol w:w="500"/>
        <w:gridCol w:w="562"/>
        <w:gridCol w:w="1678"/>
        <w:gridCol w:w="1165"/>
        <w:gridCol w:w="1002"/>
      </w:tblGrid>
      <w:tr>
        <w:tblPrEx>
          <w:shd w:val="clear" w:color="auto" w:fill="auto"/>
          <w:tblCellMar>
            <w:top w:w="0" w:type="dxa"/>
            <w:left w:w="0" w:type="dxa"/>
            <w:bottom w:w="0" w:type="dxa"/>
            <w:right w:w="0" w:type="dxa"/>
          </w:tblCellMar>
        </w:tblPrEx>
        <w:trPr>
          <w:trHeight w:val="495" w:hRule="atLeast"/>
        </w:trPr>
        <w:tc>
          <w:tcPr>
            <w:tcW w:w="148"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序号</w:t>
            </w:r>
          </w:p>
        </w:tc>
        <w:tc>
          <w:tcPr>
            <w:tcW w:w="46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编号</w:t>
            </w:r>
          </w:p>
        </w:tc>
        <w:tc>
          <w:tcPr>
            <w:tcW w:w="309"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县（市、区）</w:t>
            </w:r>
          </w:p>
        </w:tc>
        <w:tc>
          <w:tcPr>
            <w:tcW w:w="341"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乡（镇）</w:t>
            </w:r>
          </w:p>
        </w:tc>
        <w:tc>
          <w:tcPr>
            <w:tcW w:w="53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村、组</w:t>
            </w:r>
          </w:p>
        </w:tc>
        <w:tc>
          <w:tcPr>
            <w:tcW w:w="7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名称</w:t>
            </w:r>
          </w:p>
        </w:tc>
        <w:tc>
          <w:tcPr>
            <w:tcW w:w="229"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灾种</w:t>
            </w:r>
          </w:p>
        </w:tc>
        <w:tc>
          <w:tcPr>
            <w:tcW w:w="8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户</w:t>
            </w:r>
          </w:p>
        </w:tc>
        <w:tc>
          <w:tcPr>
            <w:tcW w:w="8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人</w:t>
            </w:r>
          </w:p>
        </w:tc>
        <w:tc>
          <w:tcPr>
            <w:tcW w:w="261"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财产(</w:t>
            </w:r>
            <w:r>
              <w:rPr>
                <w:rStyle w:val="63"/>
                <w:color w:val="auto"/>
                <w:lang w:val="en-US" w:eastAsia="zh-CN" w:bidi="ar"/>
              </w:rPr>
              <w:t>万元</w:t>
            </w:r>
            <w:r>
              <w:rPr>
                <w:rFonts w:hint="eastAsia" w:ascii="宋体" w:hAnsi="宋体" w:eastAsia="宋体" w:cs="宋体"/>
                <w:b/>
                <w:i w:val="0"/>
                <w:color w:val="auto"/>
                <w:kern w:val="0"/>
                <w:sz w:val="20"/>
                <w:szCs w:val="20"/>
                <w:u w:val="none"/>
                <w:lang w:val="en-US" w:eastAsia="zh-CN" w:bidi="ar"/>
              </w:rPr>
              <w:t>)</w:t>
            </w:r>
          </w:p>
        </w:tc>
        <w:tc>
          <w:tcPr>
            <w:tcW w:w="18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危险等级</w:t>
            </w:r>
          </w:p>
        </w:tc>
        <w:tc>
          <w:tcPr>
            <w:tcW w:w="207"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稳定程度</w:t>
            </w:r>
          </w:p>
        </w:tc>
        <w:tc>
          <w:tcPr>
            <w:tcW w:w="618"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责任部门</w:t>
            </w:r>
          </w:p>
        </w:tc>
        <w:tc>
          <w:tcPr>
            <w:tcW w:w="42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防治时间</w:t>
            </w:r>
          </w:p>
        </w:tc>
        <w:tc>
          <w:tcPr>
            <w:tcW w:w="369" w:type="pct"/>
            <w:tcBorders>
              <w:top w:val="single" w:color="000000" w:sz="8" w:space="0"/>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防治经费(万元)</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341721000010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梅树村南源组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南源组崩塌</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31</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75</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84</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341721010026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梅树村团结组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阴边滑坡</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滑坡</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13</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28</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341721010027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梅树村团结组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沿河两岸滑坡</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滑坡</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18</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42</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341721000009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梅树村团结组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陈林生户背面滑坡</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滑坡</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35</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341721020117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徽道村半坑组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黄发权等3户崩塌</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18</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21</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341721020116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徽道村半坑组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黄远忠等4户崩塌</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28</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341721000031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木塔乡</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富丰村老屋组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曹根东曹一阳屋后崩塌</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341721030004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桥联村苗竹湾</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山体V型冲沟泥石流</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泥石流</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27</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77</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341721020105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木塔乡</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中园村金桥组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沈堂华等户屋后</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25</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72</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300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175</w:t>
            </w:r>
          </w:p>
        </w:tc>
      </w:tr>
      <w:tr>
        <w:tblPrEx>
          <w:shd w:val="clear" w:color="auto" w:fill="auto"/>
          <w:tblCellMar>
            <w:top w:w="0" w:type="dxa"/>
            <w:left w:w="0" w:type="dxa"/>
            <w:bottom w:w="0" w:type="dxa"/>
            <w:right w:w="0" w:type="dxa"/>
          </w:tblCellMar>
        </w:tblPrEx>
        <w:trPr>
          <w:trHeight w:val="255" w:hRule="atLeast"/>
        </w:trPr>
        <w:tc>
          <w:tcPr>
            <w:tcW w:w="148"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46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341721020107 </w:t>
            </w:r>
          </w:p>
        </w:tc>
        <w:tc>
          <w:tcPr>
            <w:tcW w:w="30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龙泉镇</w:t>
            </w:r>
          </w:p>
        </w:tc>
        <w:tc>
          <w:tcPr>
            <w:tcW w:w="53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三源村向阳组</w:t>
            </w:r>
          </w:p>
        </w:tc>
        <w:tc>
          <w:tcPr>
            <w:tcW w:w="7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刘冬才、刘从喜屋后</w:t>
            </w:r>
          </w:p>
        </w:tc>
        <w:tc>
          <w:tcPr>
            <w:tcW w:w="229"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85"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w:t>
            </w:r>
          </w:p>
        </w:tc>
        <w:tc>
          <w:tcPr>
            <w:tcW w:w="261"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18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2023-2025</w:t>
            </w:r>
          </w:p>
        </w:tc>
        <w:tc>
          <w:tcPr>
            <w:tcW w:w="369"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28</w:t>
            </w:r>
          </w:p>
        </w:tc>
      </w:tr>
      <w:tr>
        <w:tblPrEx>
          <w:shd w:val="clear" w:color="auto" w:fill="auto"/>
          <w:tblCellMar>
            <w:top w:w="0" w:type="dxa"/>
            <w:left w:w="0" w:type="dxa"/>
            <w:bottom w:w="0" w:type="dxa"/>
            <w:right w:w="0" w:type="dxa"/>
          </w:tblCellMar>
        </w:tblPrEx>
        <w:trPr>
          <w:trHeight w:val="240" w:hRule="atLeast"/>
        </w:trPr>
        <w:tc>
          <w:tcPr>
            <w:tcW w:w="148" w:type="pct"/>
            <w:tcBorders>
              <w:top w:val="nil"/>
              <w:left w:val="single" w:color="000000" w:sz="8" w:space="0"/>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w:t>
            </w:r>
          </w:p>
        </w:tc>
        <w:tc>
          <w:tcPr>
            <w:tcW w:w="465"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341721000036 </w:t>
            </w:r>
          </w:p>
        </w:tc>
        <w:tc>
          <w:tcPr>
            <w:tcW w:w="309" w:type="pct"/>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泥溪镇</w:t>
            </w:r>
          </w:p>
        </w:tc>
        <w:tc>
          <w:tcPr>
            <w:tcW w:w="535"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元潘村院子组</w:t>
            </w:r>
          </w:p>
        </w:tc>
        <w:tc>
          <w:tcPr>
            <w:tcW w:w="734"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江锡贤屋后崩塌</w:t>
            </w:r>
          </w:p>
        </w:tc>
        <w:tc>
          <w:tcPr>
            <w:tcW w:w="229"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85"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261"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184"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nil"/>
              <w:left w:val="nil"/>
              <w:bottom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369" w:type="pct"/>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r>
      <w:tr>
        <w:tblPrEx>
          <w:shd w:val="clear" w:color="auto" w:fill="auto"/>
          <w:tblCellMar>
            <w:top w:w="0" w:type="dxa"/>
            <w:left w:w="0" w:type="dxa"/>
            <w:bottom w:w="0" w:type="dxa"/>
            <w:right w:w="0" w:type="dxa"/>
          </w:tblCellMar>
        </w:tblPrEx>
        <w:trPr>
          <w:trHeight w:val="240" w:hRule="atLeast"/>
        </w:trPr>
        <w:tc>
          <w:tcPr>
            <w:tcW w:w="1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4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341721010067 </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木塔乡</w:t>
            </w:r>
          </w:p>
        </w:tc>
        <w:tc>
          <w:tcPr>
            <w:tcW w:w="53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大田村东边组</w:t>
            </w:r>
          </w:p>
        </w:tc>
        <w:tc>
          <w:tcPr>
            <w:tcW w:w="73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方贵华屋后滑坡</w:t>
            </w:r>
          </w:p>
        </w:tc>
        <w:tc>
          <w:tcPr>
            <w:tcW w:w="2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滑坡</w:t>
            </w:r>
          </w:p>
        </w:tc>
        <w:tc>
          <w:tcPr>
            <w:tcW w:w="8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8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26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36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r>
      <w:tr>
        <w:tblPrEx>
          <w:shd w:val="clear" w:color="auto" w:fill="auto"/>
          <w:tblCellMar>
            <w:top w:w="0" w:type="dxa"/>
            <w:left w:w="0" w:type="dxa"/>
            <w:bottom w:w="0" w:type="dxa"/>
            <w:right w:w="0" w:type="dxa"/>
          </w:tblCellMar>
        </w:tblPrEx>
        <w:trPr>
          <w:trHeight w:val="240" w:hRule="atLeast"/>
        </w:trPr>
        <w:tc>
          <w:tcPr>
            <w:tcW w:w="1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13</w:t>
            </w:r>
          </w:p>
        </w:tc>
        <w:tc>
          <w:tcPr>
            <w:tcW w:w="4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341721010097</w:t>
            </w:r>
          </w:p>
        </w:tc>
        <w:tc>
          <w:tcPr>
            <w:tcW w:w="30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木塔乡</w:t>
            </w:r>
          </w:p>
        </w:tc>
        <w:tc>
          <w:tcPr>
            <w:tcW w:w="53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祝山村亭子组</w:t>
            </w:r>
          </w:p>
        </w:tc>
        <w:tc>
          <w:tcPr>
            <w:tcW w:w="73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王金成屋后滑坡</w:t>
            </w:r>
          </w:p>
        </w:tc>
        <w:tc>
          <w:tcPr>
            <w:tcW w:w="2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滑坡</w:t>
            </w:r>
          </w:p>
        </w:tc>
        <w:tc>
          <w:tcPr>
            <w:tcW w:w="8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3</w:t>
            </w:r>
          </w:p>
        </w:tc>
        <w:tc>
          <w:tcPr>
            <w:tcW w:w="8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11</w:t>
            </w:r>
          </w:p>
        </w:tc>
        <w:tc>
          <w:tcPr>
            <w:tcW w:w="26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30</w:t>
            </w:r>
          </w:p>
        </w:tc>
        <w:tc>
          <w:tcPr>
            <w:tcW w:w="1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小型</w:t>
            </w:r>
          </w:p>
        </w:tc>
        <w:tc>
          <w:tcPr>
            <w:tcW w:w="20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18"/>
                <w:szCs w:val="18"/>
                <w:u w:val="none"/>
              </w:rPr>
            </w:pPr>
            <w:r>
              <w:rPr>
                <w:rFonts w:hint="eastAsia" w:ascii="宋体" w:hAnsi="宋体" w:eastAsia="宋体" w:cs="宋体"/>
                <w:i w:val="0"/>
                <w:color w:val="auto"/>
                <w:kern w:val="0"/>
                <w:sz w:val="18"/>
                <w:szCs w:val="18"/>
                <w:u w:val="none"/>
                <w:lang w:val="en-US" w:eastAsia="zh-CN" w:bidi="ar"/>
              </w:rPr>
              <w:t>不稳定</w:t>
            </w:r>
          </w:p>
        </w:tc>
        <w:tc>
          <w:tcPr>
            <w:tcW w:w="61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36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21</w:t>
            </w:r>
          </w:p>
        </w:tc>
      </w:tr>
      <w:tr>
        <w:tblPrEx>
          <w:shd w:val="clear" w:color="auto" w:fill="auto"/>
          <w:tblCellMar>
            <w:top w:w="0" w:type="dxa"/>
            <w:left w:w="0" w:type="dxa"/>
            <w:bottom w:w="0" w:type="dxa"/>
            <w:right w:w="0" w:type="dxa"/>
          </w:tblCellMar>
        </w:tblPrEx>
        <w:trPr>
          <w:trHeight w:val="240" w:hRule="atLeast"/>
        </w:trPr>
        <w:tc>
          <w:tcPr>
            <w:tcW w:w="148"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c>
          <w:tcPr>
            <w:tcW w:w="46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341721000043 </w:t>
            </w:r>
          </w:p>
        </w:tc>
        <w:tc>
          <w:tcPr>
            <w:tcW w:w="309" w:type="pct"/>
            <w:tcBorders>
              <w:top w:val="single" w:color="000000" w:sz="4" w:space="0"/>
              <w:left w:val="single" w:color="000000" w:sz="4" w:space="0"/>
              <w:bottom w:val="single" w:color="auto"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41"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青山乡</w:t>
            </w:r>
          </w:p>
        </w:tc>
        <w:tc>
          <w:tcPr>
            <w:tcW w:w="53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中城村桶城组</w:t>
            </w:r>
          </w:p>
        </w:tc>
        <w:tc>
          <w:tcPr>
            <w:tcW w:w="734"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陈良发屋后崩塌</w:t>
            </w:r>
          </w:p>
        </w:tc>
        <w:tc>
          <w:tcPr>
            <w:tcW w:w="229"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8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85"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261"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184"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207"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618"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424"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369" w:type="pct"/>
            <w:tcBorders>
              <w:top w:val="single" w:color="000000" w:sz="4" w:space="0"/>
              <w:left w:val="single" w:color="000000" w:sz="4" w:space="0"/>
              <w:bottom w:val="single" w:color="auto"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r>
      <w:tr>
        <w:tblPrEx>
          <w:shd w:val="clear" w:color="auto" w:fill="auto"/>
          <w:tblCellMar>
            <w:top w:w="0" w:type="dxa"/>
            <w:left w:w="0" w:type="dxa"/>
            <w:bottom w:w="0" w:type="dxa"/>
            <w:right w:w="0" w:type="dxa"/>
          </w:tblCellMar>
        </w:tblPrEx>
        <w:trPr>
          <w:trHeight w:val="240" w:hRule="atLeast"/>
        </w:trPr>
        <w:tc>
          <w:tcPr>
            <w:tcW w:w="4630" w:type="pct"/>
            <w:gridSpan w:val="14"/>
            <w:tcBorders>
              <w:top w:val="single" w:color="auto" w:sz="4" w:space="0"/>
              <w:left w:val="single" w:color="auto" w:sz="4" w:space="0"/>
              <w:bottom w:val="single" w:color="auto"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auto"/>
                <w:sz w:val="20"/>
                <w:szCs w:val="20"/>
                <w:u w:val="none"/>
              </w:rPr>
            </w:pPr>
            <w:r>
              <w:rPr>
                <w:rFonts w:hint="eastAsia" w:ascii="宋体" w:hAnsi="宋体" w:eastAsia="宋体" w:cs="宋体"/>
                <w:b/>
                <w:bCs/>
                <w:i w:val="0"/>
                <w:color w:val="auto"/>
                <w:kern w:val="0"/>
                <w:sz w:val="20"/>
                <w:szCs w:val="20"/>
                <w:u w:val="none"/>
                <w:lang w:val="en-US" w:eastAsia="zh-CN" w:bidi="ar"/>
              </w:rPr>
              <w:t>合计</w:t>
            </w:r>
          </w:p>
        </w:tc>
        <w:tc>
          <w:tcPr>
            <w:tcW w:w="369" w:type="pct"/>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bCs/>
                <w:i w:val="0"/>
                <w:color w:val="auto"/>
                <w:sz w:val="20"/>
                <w:szCs w:val="20"/>
                <w:u w:val="none"/>
              </w:rPr>
            </w:pPr>
            <w:r>
              <w:rPr>
                <w:rFonts w:hint="eastAsia" w:ascii="宋体" w:hAnsi="宋体" w:eastAsia="宋体" w:cs="宋体"/>
                <w:b/>
                <w:bCs/>
                <w:i w:val="0"/>
                <w:color w:val="auto"/>
                <w:kern w:val="0"/>
                <w:sz w:val="20"/>
                <w:szCs w:val="20"/>
                <w:u w:val="none"/>
                <w:lang w:val="en-US" w:eastAsia="zh-CN" w:bidi="ar"/>
              </w:rPr>
              <w:t>574</w:t>
            </w:r>
          </w:p>
        </w:tc>
      </w:tr>
    </w:tbl>
    <w:p>
      <w:pPr>
        <w:pStyle w:val="2"/>
        <w:rPr>
          <w:rFonts w:hint="eastAsia" w:ascii="仿宋" w:hAnsi="仿宋" w:eastAsia="仿宋"/>
          <w:b/>
          <w:color w:val="auto"/>
          <w:sz w:val="30"/>
          <w:szCs w:val="30"/>
        </w:rPr>
      </w:pPr>
    </w:p>
    <w:p>
      <w:pPr>
        <w:pStyle w:val="3"/>
      </w:pPr>
    </w:p>
    <w:p>
      <w:pPr>
        <w:spacing w:line="560" w:lineRule="exact"/>
        <w:rPr>
          <w:color w:val="auto"/>
          <w:spacing w:val="2"/>
          <w:sz w:val="24"/>
        </w:rPr>
        <w:sectPr>
          <w:pgSz w:w="16838" w:h="11906" w:orient="landscape"/>
          <w:pgMar w:top="1701" w:right="1588" w:bottom="1701" w:left="1701" w:header="851" w:footer="992" w:gutter="0"/>
          <w:pgBorders>
            <w:top w:val="none" w:sz="0" w:space="0"/>
            <w:left w:val="none" w:sz="0" w:space="0"/>
            <w:bottom w:val="none" w:sz="0" w:space="0"/>
            <w:right w:val="none" w:sz="0" w:space="0"/>
          </w:pgBorders>
          <w:pgNumType w:fmt="decimal"/>
          <w:cols w:space="720" w:num="1"/>
          <w:docGrid w:type="linesAndChars" w:linePitch="314" w:charSpace="0"/>
        </w:sectPr>
      </w:pPr>
    </w:p>
    <w:p>
      <w:pPr>
        <w:spacing w:line="560" w:lineRule="exact"/>
        <w:ind w:firstLine="602" w:firstLineChars="200"/>
        <w:jc w:val="center"/>
        <w:rPr>
          <w:rFonts w:eastAsia="仿宋"/>
          <w:b/>
          <w:bCs/>
          <w:color w:val="auto"/>
          <w:spacing w:val="2"/>
          <w:sz w:val="28"/>
          <w:szCs w:val="28"/>
        </w:rPr>
      </w:pPr>
      <w:r>
        <w:rPr>
          <w:rFonts w:hint="eastAsia" w:ascii="仿宋" w:hAnsi="仿宋" w:eastAsia="仿宋"/>
          <w:b/>
          <w:color w:val="auto"/>
          <w:sz w:val="30"/>
          <w:szCs w:val="30"/>
        </w:rPr>
        <w:t xml:space="preserve">附表五 </w:t>
      </w:r>
      <w:r>
        <w:rPr>
          <w:rFonts w:ascii="仿宋" w:hAnsi="仿宋" w:eastAsia="仿宋"/>
          <w:b/>
          <w:color w:val="auto"/>
          <w:sz w:val="30"/>
          <w:szCs w:val="30"/>
        </w:rPr>
        <w:t xml:space="preserve">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“十四五”地质灾害排危除险项目估算表</w:t>
      </w:r>
    </w:p>
    <w:tbl>
      <w:tblPr>
        <w:tblStyle w:val="30"/>
        <w:tblW w:w="1392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0"/>
        <w:gridCol w:w="1600"/>
        <w:gridCol w:w="940"/>
        <w:gridCol w:w="900"/>
        <w:gridCol w:w="1080"/>
        <w:gridCol w:w="1080"/>
        <w:gridCol w:w="1080"/>
        <w:gridCol w:w="660"/>
        <w:gridCol w:w="700"/>
        <w:gridCol w:w="760"/>
        <w:gridCol w:w="840"/>
        <w:gridCol w:w="920"/>
        <w:gridCol w:w="1080"/>
        <w:gridCol w:w="880"/>
        <w:gridCol w:w="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i w:val="0"/>
                <w:color w:val="auto"/>
                <w:kern w:val="0"/>
                <w:sz w:val="20"/>
                <w:szCs w:val="20"/>
                <w:u w:val="none"/>
                <w:lang w:val="en-US" w:eastAsia="zh-CN" w:bidi="ar"/>
              </w:rPr>
              <w:t>序号</w:t>
            </w:r>
          </w:p>
        </w:tc>
        <w:tc>
          <w:tcPr>
            <w:tcW w:w="160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编号</w:t>
            </w:r>
          </w:p>
        </w:tc>
        <w:tc>
          <w:tcPr>
            <w:tcW w:w="94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县（市、区）</w:t>
            </w:r>
          </w:p>
        </w:tc>
        <w:tc>
          <w:tcPr>
            <w:tcW w:w="90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乡（镇）</w:t>
            </w:r>
          </w:p>
        </w:tc>
        <w:tc>
          <w:tcPr>
            <w:tcW w:w="108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村、组</w:t>
            </w:r>
          </w:p>
        </w:tc>
        <w:tc>
          <w:tcPr>
            <w:tcW w:w="108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名称</w:t>
            </w:r>
          </w:p>
        </w:tc>
        <w:tc>
          <w:tcPr>
            <w:tcW w:w="108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灾种</w:t>
            </w:r>
          </w:p>
        </w:tc>
        <w:tc>
          <w:tcPr>
            <w:tcW w:w="66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户</w:t>
            </w:r>
          </w:p>
        </w:tc>
        <w:tc>
          <w:tcPr>
            <w:tcW w:w="70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人</w:t>
            </w:r>
          </w:p>
        </w:tc>
        <w:tc>
          <w:tcPr>
            <w:tcW w:w="76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财产(万元)</w:t>
            </w:r>
          </w:p>
        </w:tc>
        <w:tc>
          <w:tcPr>
            <w:tcW w:w="84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危险等级</w:t>
            </w:r>
          </w:p>
        </w:tc>
        <w:tc>
          <w:tcPr>
            <w:tcW w:w="92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稳定程度</w:t>
            </w:r>
          </w:p>
        </w:tc>
        <w:tc>
          <w:tcPr>
            <w:tcW w:w="108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责任部门</w:t>
            </w:r>
          </w:p>
        </w:tc>
        <w:tc>
          <w:tcPr>
            <w:tcW w:w="88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防治时间</w:t>
            </w:r>
          </w:p>
        </w:tc>
        <w:tc>
          <w:tcPr>
            <w:tcW w:w="820" w:type="dxa"/>
            <w:shd w:val="clear" w:color="auto" w:fill="auto"/>
            <w:vAlign w:val="center"/>
          </w:tcPr>
          <w:p>
            <w:pPr>
              <w:widowControl/>
              <w:jc w:val="center"/>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防治经费(万元)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580" w:type="dxa"/>
            <w:shd w:val="clear" w:color="auto" w:fill="auto"/>
            <w:vAlign w:val="center"/>
          </w:tcPr>
          <w:p>
            <w:pPr>
              <w:widowControl/>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1</w:t>
            </w:r>
          </w:p>
        </w:tc>
        <w:tc>
          <w:tcPr>
            <w:tcW w:w="160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341721000045 </w:t>
            </w:r>
          </w:p>
        </w:tc>
        <w:tc>
          <w:tcPr>
            <w:tcW w:w="94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东至县</w:t>
            </w:r>
          </w:p>
        </w:tc>
        <w:tc>
          <w:tcPr>
            <w:tcW w:w="90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龙泉镇</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三源村万源组</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宋庆平等户屋后崩塌</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崩塌</w:t>
            </w:r>
          </w:p>
        </w:tc>
        <w:tc>
          <w:tcPr>
            <w:tcW w:w="66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w:t>
            </w:r>
          </w:p>
        </w:tc>
        <w:tc>
          <w:tcPr>
            <w:tcW w:w="70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26</w:t>
            </w:r>
          </w:p>
        </w:tc>
        <w:tc>
          <w:tcPr>
            <w:tcW w:w="76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50</w:t>
            </w:r>
          </w:p>
        </w:tc>
        <w:tc>
          <w:tcPr>
            <w:tcW w:w="84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小型</w:t>
            </w:r>
          </w:p>
        </w:tc>
        <w:tc>
          <w:tcPr>
            <w:tcW w:w="92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不稳定</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镇政府</w:t>
            </w:r>
          </w:p>
        </w:tc>
        <w:tc>
          <w:tcPr>
            <w:tcW w:w="8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2023</w:t>
            </w:r>
          </w:p>
        </w:tc>
        <w:tc>
          <w:tcPr>
            <w:tcW w:w="82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0" w:type="dxa"/>
            <w:shd w:val="clear" w:color="auto" w:fill="auto"/>
            <w:vAlign w:val="center"/>
          </w:tcPr>
          <w:p>
            <w:pPr>
              <w:widowControl/>
              <w:jc w:val="center"/>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lang w:val="en-US" w:eastAsia="zh-CN"/>
              </w:rPr>
              <w:t>2</w:t>
            </w:r>
          </w:p>
        </w:tc>
        <w:tc>
          <w:tcPr>
            <w:tcW w:w="160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341721010084 </w:t>
            </w:r>
          </w:p>
        </w:tc>
        <w:tc>
          <w:tcPr>
            <w:tcW w:w="94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东至县</w:t>
            </w:r>
          </w:p>
        </w:tc>
        <w:tc>
          <w:tcPr>
            <w:tcW w:w="90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尧渡镇</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高岭村新生组</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檀家后山滑坡</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滑坡</w:t>
            </w:r>
          </w:p>
        </w:tc>
        <w:tc>
          <w:tcPr>
            <w:tcW w:w="66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w:t>
            </w:r>
          </w:p>
        </w:tc>
        <w:tc>
          <w:tcPr>
            <w:tcW w:w="70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30</w:t>
            </w:r>
          </w:p>
        </w:tc>
        <w:tc>
          <w:tcPr>
            <w:tcW w:w="76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60</w:t>
            </w:r>
          </w:p>
        </w:tc>
        <w:tc>
          <w:tcPr>
            <w:tcW w:w="84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小型</w:t>
            </w:r>
          </w:p>
        </w:tc>
        <w:tc>
          <w:tcPr>
            <w:tcW w:w="92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不稳定</w:t>
            </w:r>
          </w:p>
        </w:tc>
        <w:tc>
          <w:tcPr>
            <w:tcW w:w="10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镇政府</w:t>
            </w:r>
          </w:p>
        </w:tc>
        <w:tc>
          <w:tcPr>
            <w:tcW w:w="88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2025</w:t>
            </w:r>
          </w:p>
        </w:tc>
        <w:tc>
          <w:tcPr>
            <w:tcW w:w="820" w:type="dxa"/>
            <w:shd w:val="clear" w:color="auto" w:fill="auto"/>
            <w:vAlign w:val="center"/>
          </w:tcPr>
          <w:p>
            <w:pPr>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58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kern w:val="0"/>
                <w:sz w:val="20"/>
                <w:szCs w:val="20"/>
                <w:highlight w:val="none"/>
                <w:lang w:val="en-US" w:eastAsia="zh-CN"/>
              </w:rPr>
            </w:pPr>
            <w:r>
              <w:rPr>
                <w:rFonts w:hint="eastAsia" w:ascii="宋体" w:hAnsi="宋体" w:eastAsia="宋体" w:cs="宋体"/>
                <w:i w:val="0"/>
                <w:color w:val="auto"/>
                <w:kern w:val="0"/>
                <w:sz w:val="20"/>
                <w:szCs w:val="20"/>
                <w:u w:val="none"/>
                <w:lang w:val="en-US" w:eastAsia="zh-CN" w:bidi="ar"/>
              </w:rPr>
              <w:t>3</w:t>
            </w:r>
          </w:p>
        </w:tc>
        <w:tc>
          <w:tcPr>
            <w:tcW w:w="160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 xml:space="preserve">341721010065 </w:t>
            </w:r>
          </w:p>
        </w:tc>
        <w:tc>
          <w:tcPr>
            <w:tcW w:w="94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东至县</w:t>
            </w:r>
          </w:p>
        </w:tc>
        <w:tc>
          <w:tcPr>
            <w:tcW w:w="90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木塔乡</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郑村村捉马组</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王森文屋后滑坡</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滑坡</w:t>
            </w:r>
          </w:p>
        </w:tc>
        <w:tc>
          <w:tcPr>
            <w:tcW w:w="66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1</w:t>
            </w:r>
          </w:p>
        </w:tc>
        <w:tc>
          <w:tcPr>
            <w:tcW w:w="70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default" w:ascii="仿宋_GB2312" w:hAnsi="宋体" w:eastAsia="仿宋_GB2312" w:cs="仿宋_GB2312"/>
                <w:i w:val="0"/>
                <w:color w:val="auto"/>
                <w:kern w:val="0"/>
                <w:sz w:val="16"/>
                <w:szCs w:val="16"/>
                <w:u w:val="none"/>
                <w:lang w:val="en-US" w:eastAsia="zh-CN" w:bidi="ar"/>
              </w:rPr>
              <w:t>5</w:t>
            </w:r>
          </w:p>
        </w:tc>
        <w:tc>
          <w:tcPr>
            <w:tcW w:w="76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default" w:ascii="仿宋_GB2312" w:hAnsi="宋体" w:eastAsia="仿宋_GB2312" w:cs="仿宋_GB2312"/>
                <w:i w:val="0"/>
                <w:color w:val="auto"/>
                <w:kern w:val="0"/>
                <w:sz w:val="16"/>
                <w:szCs w:val="16"/>
                <w:u w:val="none"/>
                <w:lang w:val="en-US" w:eastAsia="zh-CN" w:bidi="ar"/>
              </w:rPr>
              <w:t>10</w:t>
            </w:r>
          </w:p>
        </w:tc>
        <w:tc>
          <w:tcPr>
            <w:tcW w:w="84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小型</w:t>
            </w:r>
          </w:p>
        </w:tc>
        <w:tc>
          <w:tcPr>
            <w:tcW w:w="92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不稳定</w:t>
            </w:r>
          </w:p>
        </w:tc>
        <w:tc>
          <w:tcPr>
            <w:tcW w:w="108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镇政府</w:t>
            </w:r>
          </w:p>
        </w:tc>
        <w:tc>
          <w:tcPr>
            <w:tcW w:w="88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宋体" w:hAnsi="宋体" w:eastAsia="宋体" w:cs="宋体"/>
                <w:i w:val="0"/>
                <w:color w:val="auto"/>
                <w:kern w:val="0"/>
                <w:sz w:val="20"/>
                <w:szCs w:val="20"/>
                <w:u w:val="none"/>
                <w:lang w:val="en-US" w:eastAsia="zh-CN" w:bidi="ar"/>
              </w:rPr>
              <w:t>2024</w:t>
            </w:r>
          </w:p>
        </w:tc>
        <w:tc>
          <w:tcPr>
            <w:tcW w:w="820" w:type="dxa"/>
            <w:shd w:val="clear" w:color="auto" w:fill="auto"/>
            <w:vAlign w:val="center"/>
          </w:tcPr>
          <w:p>
            <w:pPr>
              <w:keepNext w:val="0"/>
              <w:keepLines w:val="0"/>
              <w:widowControl/>
              <w:suppressLineNumbers w:val="0"/>
              <w:jc w:val="center"/>
              <w:textAlignment w:val="center"/>
              <w:rPr>
                <w:rFonts w:hint="eastAsia" w:ascii="宋体" w:hAnsi="宋体" w:eastAsia="宋体" w:cs="宋体"/>
                <w:color w:val="auto"/>
                <w:sz w:val="20"/>
                <w:szCs w:val="20"/>
                <w:highlight w:val="none"/>
              </w:rPr>
            </w:pPr>
            <w:r>
              <w:rPr>
                <w:rFonts w:hint="eastAsia" w:ascii="黑体" w:hAnsi="宋体" w:eastAsia="黑体" w:cs="黑体"/>
                <w:i w:val="0"/>
                <w:color w:val="auto"/>
                <w:kern w:val="0"/>
                <w:sz w:val="16"/>
                <w:szCs w:val="16"/>
                <w:u w:val="none"/>
                <w:lang w:val="en-US" w:eastAsia="zh-CN" w:bidi="ar"/>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3100" w:type="dxa"/>
            <w:gridSpan w:val="14"/>
            <w:shd w:val="clear" w:color="auto" w:fill="auto"/>
            <w:vAlign w:val="center"/>
          </w:tcPr>
          <w:p>
            <w:pPr>
              <w:keepNext w:val="0"/>
              <w:keepLines w:val="0"/>
              <w:widowControl/>
              <w:suppressLineNumbers w:val="0"/>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i w:val="0"/>
                <w:color w:val="auto"/>
                <w:kern w:val="0"/>
                <w:sz w:val="20"/>
                <w:szCs w:val="20"/>
                <w:u w:val="none"/>
                <w:lang w:val="en-US" w:eastAsia="zh-CN" w:bidi="ar"/>
              </w:rPr>
              <w:t>合计</w:t>
            </w:r>
          </w:p>
        </w:tc>
        <w:tc>
          <w:tcPr>
            <w:tcW w:w="820" w:type="dxa"/>
            <w:shd w:val="clear" w:color="auto" w:fill="auto"/>
            <w:vAlign w:val="center"/>
          </w:tcPr>
          <w:p>
            <w:pPr>
              <w:keepNext w:val="0"/>
              <w:keepLines w:val="0"/>
              <w:widowControl/>
              <w:suppressLineNumbers w:val="0"/>
              <w:jc w:val="center"/>
              <w:textAlignment w:val="center"/>
              <w:rPr>
                <w:rFonts w:hint="eastAsia" w:ascii="宋体" w:hAnsi="宋体" w:eastAsia="宋体" w:cs="宋体"/>
                <w:b/>
                <w:bCs/>
                <w:color w:val="auto"/>
                <w:sz w:val="20"/>
                <w:szCs w:val="20"/>
                <w:highlight w:val="none"/>
              </w:rPr>
            </w:pPr>
            <w:r>
              <w:rPr>
                <w:rFonts w:hint="eastAsia" w:ascii="宋体" w:hAnsi="宋体" w:eastAsia="宋体" w:cs="宋体"/>
                <w:b/>
                <w:bCs/>
                <w:i w:val="0"/>
                <w:color w:val="auto"/>
                <w:kern w:val="0"/>
                <w:sz w:val="20"/>
                <w:szCs w:val="20"/>
                <w:u w:val="none"/>
                <w:lang w:val="en-US" w:eastAsia="zh-CN" w:bidi="ar"/>
              </w:rPr>
              <w:t>60</w:t>
            </w:r>
          </w:p>
        </w:tc>
      </w:tr>
    </w:tbl>
    <w:p>
      <w:pPr>
        <w:spacing w:line="560" w:lineRule="exact"/>
        <w:ind w:firstLine="602" w:firstLineChars="200"/>
        <w:jc w:val="center"/>
        <w:rPr>
          <w:rFonts w:ascii="仿宋" w:hAnsi="仿宋" w:eastAsia="仿宋"/>
          <w:b/>
          <w:color w:val="auto"/>
          <w:sz w:val="30"/>
          <w:szCs w:val="30"/>
        </w:rPr>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spacing w:line="560" w:lineRule="exact"/>
        <w:ind w:firstLine="602" w:firstLineChars="200"/>
        <w:jc w:val="center"/>
        <w:rPr>
          <w:rFonts w:ascii="仿宋" w:hAnsi="仿宋" w:eastAsia="仿宋"/>
          <w:b/>
          <w:color w:val="auto"/>
          <w:sz w:val="30"/>
          <w:szCs w:val="30"/>
        </w:rPr>
      </w:pPr>
      <w:r>
        <w:rPr>
          <w:rFonts w:hint="eastAsia" w:ascii="仿宋" w:hAnsi="仿宋" w:eastAsia="仿宋"/>
          <w:b/>
          <w:color w:val="auto"/>
          <w:sz w:val="30"/>
          <w:szCs w:val="30"/>
        </w:rPr>
        <w:t xml:space="preserve">附表六 </w:t>
      </w:r>
      <w:r>
        <w:rPr>
          <w:rFonts w:ascii="仿宋" w:hAnsi="仿宋" w:eastAsia="仿宋"/>
          <w:b/>
          <w:color w:val="auto"/>
          <w:sz w:val="30"/>
          <w:szCs w:val="30"/>
        </w:rPr>
        <w:t xml:space="preserve">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“十四五”地质灾害工程治理项目估算表</w:t>
      </w:r>
    </w:p>
    <w:tbl>
      <w:tblPr>
        <w:tblStyle w:val="3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676"/>
        <w:gridCol w:w="1486"/>
        <w:gridCol w:w="1050"/>
        <w:gridCol w:w="1000"/>
        <w:gridCol w:w="1536"/>
        <w:gridCol w:w="1862"/>
        <w:gridCol w:w="1011"/>
        <w:gridCol w:w="710"/>
        <w:gridCol w:w="632"/>
        <w:gridCol w:w="733"/>
        <w:gridCol w:w="733"/>
        <w:gridCol w:w="865"/>
        <w:gridCol w:w="576"/>
        <w:gridCol w:w="576"/>
        <w:gridCol w:w="5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95" w:hRule="atLeast"/>
        </w:trPr>
        <w:tc>
          <w:tcPr>
            <w:tcW w:w="24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序号</w:t>
            </w:r>
          </w:p>
        </w:tc>
        <w:tc>
          <w:tcPr>
            <w:tcW w:w="529"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编号</w:t>
            </w:r>
          </w:p>
        </w:tc>
        <w:tc>
          <w:tcPr>
            <w:tcW w:w="374"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县（市、区）</w:t>
            </w:r>
          </w:p>
        </w:tc>
        <w:tc>
          <w:tcPr>
            <w:tcW w:w="35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乡（镇）</w:t>
            </w:r>
          </w:p>
        </w:tc>
        <w:tc>
          <w:tcPr>
            <w:tcW w:w="547"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村、组</w:t>
            </w:r>
          </w:p>
        </w:tc>
        <w:tc>
          <w:tcPr>
            <w:tcW w:w="66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名称</w:t>
            </w:r>
          </w:p>
        </w:tc>
        <w:tc>
          <w:tcPr>
            <w:tcW w:w="360"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灾种</w:t>
            </w:r>
          </w:p>
        </w:tc>
        <w:tc>
          <w:tcPr>
            <w:tcW w:w="25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户</w:t>
            </w:r>
          </w:p>
        </w:tc>
        <w:tc>
          <w:tcPr>
            <w:tcW w:w="22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人</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财产(万元)</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危险等级</w:t>
            </w:r>
          </w:p>
        </w:tc>
        <w:tc>
          <w:tcPr>
            <w:tcW w:w="308"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稳定程度</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责任部门</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防治时间</w:t>
            </w:r>
          </w:p>
        </w:tc>
        <w:tc>
          <w:tcPr>
            <w:tcW w:w="20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防治经费(万元)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55" w:hRule="atLeast"/>
        </w:trPr>
        <w:tc>
          <w:tcPr>
            <w:tcW w:w="24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529"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341721020108 </w:t>
            </w:r>
          </w:p>
        </w:tc>
        <w:tc>
          <w:tcPr>
            <w:tcW w:w="374"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5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尧渡镇</w:t>
            </w:r>
          </w:p>
        </w:tc>
        <w:tc>
          <w:tcPr>
            <w:tcW w:w="547"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河西社区胡村组</w:t>
            </w:r>
          </w:p>
        </w:tc>
        <w:tc>
          <w:tcPr>
            <w:tcW w:w="66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左登艳等户屋后崩塌</w:t>
            </w:r>
          </w:p>
        </w:tc>
        <w:tc>
          <w:tcPr>
            <w:tcW w:w="360"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25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22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39</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240</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308"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w:t>
            </w:r>
          </w:p>
        </w:tc>
        <w:tc>
          <w:tcPr>
            <w:tcW w:w="20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55" w:hRule="atLeast"/>
        </w:trPr>
        <w:tc>
          <w:tcPr>
            <w:tcW w:w="24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529"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341721020070 </w:t>
            </w:r>
          </w:p>
        </w:tc>
        <w:tc>
          <w:tcPr>
            <w:tcW w:w="374"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5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昭潭镇</w:t>
            </w:r>
          </w:p>
        </w:tc>
        <w:tc>
          <w:tcPr>
            <w:tcW w:w="547"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昭潭村红旗组</w:t>
            </w:r>
          </w:p>
        </w:tc>
        <w:tc>
          <w:tcPr>
            <w:tcW w:w="66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红旗组滑坡</w:t>
            </w:r>
          </w:p>
        </w:tc>
        <w:tc>
          <w:tcPr>
            <w:tcW w:w="360"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25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18</w:t>
            </w:r>
          </w:p>
        </w:tc>
        <w:tc>
          <w:tcPr>
            <w:tcW w:w="22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78</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80</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308"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2023</w:t>
            </w:r>
          </w:p>
        </w:tc>
        <w:tc>
          <w:tcPr>
            <w:tcW w:w="20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255" w:hRule="atLeast"/>
        </w:trPr>
        <w:tc>
          <w:tcPr>
            <w:tcW w:w="24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529"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341721010079 </w:t>
            </w:r>
          </w:p>
        </w:tc>
        <w:tc>
          <w:tcPr>
            <w:tcW w:w="374"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5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香隅镇</w:t>
            </w:r>
          </w:p>
        </w:tc>
        <w:tc>
          <w:tcPr>
            <w:tcW w:w="547"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香山村四组</w:t>
            </w:r>
          </w:p>
        </w:tc>
        <w:tc>
          <w:tcPr>
            <w:tcW w:w="66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长山新村滑坡</w:t>
            </w:r>
          </w:p>
        </w:tc>
        <w:tc>
          <w:tcPr>
            <w:tcW w:w="360"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滑坡</w:t>
            </w:r>
          </w:p>
        </w:tc>
        <w:tc>
          <w:tcPr>
            <w:tcW w:w="25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22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40</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150</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308"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2024</w:t>
            </w:r>
          </w:p>
        </w:tc>
        <w:tc>
          <w:tcPr>
            <w:tcW w:w="20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24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529"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 xml:space="preserve">341721020114 </w:t>
            </w:r>
          </w:p>
        </w:tc>
        <w:tc>
          <w:tcPr>
            <w:tcW w:w="374"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35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尧渡镇</w:t>
            </w:r>
          </w:p>
        </w:tc>
        <w:tc>
          <w:tcPr>
            <w:tcW w:w="547"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尧河社区</w:t>
            </w:r>
          </w:p>
        </w:tc>
        <w:tc>
          <w:tcPr>
            <w:tcW w:w="66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金子牌森林公园西南侧孙桂林等户屋后崩塌</w:t>
            </w:r>
          </w:p>
        </w:tc>
        <w:tc>
          <w:tcPr>
            <w:tcW w:w="360"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崩塌</w:t>
            </w:r>
          </w:p>
        </w:tc>
        <w:tc>
          <w:tcPr>
            <w:tcW w:w="253"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c>
          <w:tcPr>
            <w:tcW w:w="22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41</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190</w:t>
            </w:r>
          </w:p>
        </w:tc>
        <w:tc>
          <w:tcPr>
            <w:tcW w:w="261"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小型</w:t>
            </w:r>
          </w:p>
        </w:tc>
        <w:tc>
          <w:tcPr>
            <w:tcW w:w="308"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不稳定</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镇政府</w:t>
            </w:r>
          </w:p>
        </w:tc>
        <w:tc>
          <w:tcPr>
            <w:tcW w:w="205"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2025</w:t>
            </w:r>
          </w:p>
        </w:tc>
        <w:tc>
          <w:tcPr>
            <w:tcW w:w="206" w:type="pct"/>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6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5</w:t>
            </w:r>
          </w:p>
        </w:tc>
        <w:tc>
          <w:tcPr>
            <w:tcW w:w="148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 xml:space="preserve">341721010057 </w:t>
            </w:r>
          </w:p>
        </w:tc>
        <w:tc>
          <w:tcPr>
            <w:tcW w:w="105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东至县</w:t>
            </w:r>
          </w:p>
        </w:tc>
        <w:tc>
          <w:tcPr>
            <w:tcW w:w="100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尧渡镇</w:t>
            </w:r>
          </w:p>
        </w:tc>
        <w:tc>
          <w:tcPr>
            <w:tcW w:w="153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枫树村枫树组</w:t>
            </w:r>
          </w:p>
        </w:tc>
        <w:tc>
          <w:tcPr>
            <w:tcW w:w="186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距G206国道K1305+100左侧2公里处村道滑坡</w:t>
            </w:r>
          </w:p>
        </w:tc>
        <w:tc>
          <w:tcPr>
            <w:tcW w:w="1011"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滑坡</w:t>
            </w:r>
          </w:p>
        </w:tc>
        <w:tc>
          <w:tcPr>
            <w:tcW w:w="710"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632"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733"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小型</w:t>
            </w:r>
          </w:p>
        </w:tc>
        <w:tc>
          <w:tcPr>
            <w:tcW w:w="86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不稳定</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镇政府</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2024</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95" w:hRule="atLeast"/>
        </w:trPr>
        <w:tc>
          <w:tcPr>
            <w:tcW w:w="6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6</w:t>
            </w:r>
          </w:p>
        </w:tc>
        <w:tc>
          <w:tcPr>
            <w:tcW w:w="148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341721020068</w:t>
            </w:r>
          </w:p>
        </w:tc>
        <w:tc>
          <w:tcPr>
            <w:tcW w:w="105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东至县</w:t>
            </w:r>
          </w:p>
        </w:tc>
        <w:tc>
          <w:tcPr>
            <w:tcW w:w="100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葛公镇</w:t>
            </w:r>
          </w:p>
        </w:tc>
        <w:tc>
          <w:tcPr>
            <w:tcW w:w="153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 xml:space="preserve">徽道村大坞组  </w:t>
            </w:r>
          </w:p>
        </w:tc>
        <w:tc>
          <w:tcPr>
            <w:tcW w:w="186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S231至徽道村500m处崩塌</w:t>
            </w:r>
          </w:p>
        </w:tc>
        <w:tc>
          <w:tcPr>
            <w:tcW w:w="1011"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崩塌</w:t>
            </w:r>
          </w:p>
        </w:tc>
        <w:tc>
          <w:tcPr>
            <w:tcW w:w="710"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632"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733"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小型</w:t>
            </w:r>
          </w:p>
        </w:tc>
        <w:tc>
          <w:tcPr>
            <w:tcW w:w="86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不稳定</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镇政府</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2024</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95" w:hRule="atLeast"/>
        </w:trPr>
        <w:tc>
          <w:tcPr>
            <w:tcW w:w="6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7</w:t>
            </w:r>
          </w:p>
        </w:tc>
        <w:tc>
          <w:tcPr>
            <w:tcW w:w="148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341721030003</w:t>
            </w:r>
          </w:p>
        </w:tc>
        <w:tc>
          <w:tcPr>
            <w:tcW w:w="105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东至县</w:t>
            </w:r>
          </w:p>
        </w:tc>
        <w:tc>
          <w:tcPr>
            <w:tcW w:w="100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葛公镇</w:t>
            </w:r>
          </w:p>
        </w:tc>
        <w:tc>
          <w:tcPr>
            <w:tcW w:w="153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桥联村学坞组</w:t>
            </w:r>
          </w:p>
        </w:tc>
        <w:tc>
          <w:tcPr>
            <w:tcW w:w="186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山体沟谷泥石流</w:t>
            </w:r>
          </w:p>
        </w:tc>
        <w:tc>
          <w:tcPr>
            <w:tcW w:w="1011"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泥石流</w:t>
            </w:r>
          </w:p>
        </w:tc>
        <w:tc>
          <w:tcPr>
            <w:tcW w:w="71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13</w:t>
            </w:r>
          </w:p>
        </w:tc>
        <w:tc>
          <w:tcPr>
            <w:tcW w:w="63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61</w:t>
            </w: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70</w:t>
            </w: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小型</w:t>
            </w:r>
          </w:p>
        </w:tc>
        <w:tc>
          <w:tcPr>
            <w:tcW w:w="86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不稳定</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镇政府</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2024</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6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8</w:t>
            </w:r>
          </w:p>
        </w:tc>
        <w:tc>
          <w:tcPr>
            <w:tcW w:w="148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341721010099</w:t>
            </w:r>
          </w:p>
        </w:tc>
        <w:tc>
          <w:tcPr>
            <w:tcW w:w="105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东至县</w:t>
            </w:r>
          </w:p>
        </w:tc>
        <w:tc>
          <w:tcPr>
            <w:tcW w:w="100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官港镇</w:t>
            </w:r>
          </w:p>
        </w:tc>
        <w:tc>
          <w:tcPr>
            <w:tcW w:w="153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乌竹村阳排组</w:t>
            </w:r>
          </w:p>
        </w:tc>
        <w:tc>
          <w:tcPr>
            <w:tcW w:w="186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胡永生屋后滑坡</w:t>
            </w:r>
          </w:p>
        </w:tc>
        <w:tc>
          <w:tcPr>
            <w:tcW w:w="1011"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滑坡</w:t>
            </w:r>
          </w:p>
        </w:tc>
        <w:tc>
          <w:tcPr>
            <w:tcW w:w="71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w:t>
            </w:r>
          </w:p>
        </w:tc>
        <w:tc>
          <w:tcPr>
            <w:tcW w:w="63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6</w:t>
            </w: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60</w:t>
            </w: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小型</w:t>
            </w:r>
          </w:p>
        </w:tc>
        <w:tc>
          <w:tcPr>
            <w:tcW w:w="86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不稳定</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镇政府</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2024</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95" w:hRule="atLeast"/>
        </w:trPr>
        <w:tc>
          <w:tcPr>
            <w:tcW w:w="6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9</w:t>
            </w:r>
          </w:p>
        </w:tc>
        <w:tc>
          <w:tcPr>
            <w:tcW w:w="148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341721010071</w:t>
            </w:r>
          </w:p>
        </w:tc>
        <w:tc>
          <w:tcPr>
            <w:tcW w:w="105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东至县</w:t>
            </w:r>
          </w:p>
        </w:tc>
        <w:tc>
          <w:tcPr>
            <w:tcW w:w="100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花园乡</w:t>
            </w:r>
          </w:p>
        </w:tc>
        <w:tc>
          <w:tcPr>
            <w:tcW w:w="153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栗埠村檀岭组</w:t>
            </w:r>
          </w:p>
        </w:tc>
        <w:tc>
          <w:tcPr>
            <w:tcW w:w="186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村村通路滑坡</w:t>
            </w:r>
          </w:p>
        </w:tc>
        <w:tc>
          <w:tcPr>
            <w:tcW w:w="1011"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滑坡</w:t>
            </w:r>
          </w:p>
        </w:tc>
        <w:tc>
          <w:tcPr>
            <w:tcW w:w="710"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632"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733" w:type="dxa"/>
            <w:shd w:val="clear" w:color="auto" w:fill="auto"/>
            <w:tcMar>
              <w:top w:w="15" w:type="dxa"/>
              <w:left w:w="15" w:type="dxa"/>
              <w:right w:w="15" w:type="dxa"/>
            </w:tcMar>
            <w:vAlign w:val="center"/>
          </w:tcPr>
          <w:p>
            <w:pPr>
              <w:jc w:val="center"/>
              <w:rPr>
                <w:rFonts w:hint="eastAsia" w:ascii="宋体" w:hAnsi="宋体" w:eastAsia="宋体" w:cs="宋体"/>
                <w:i w:val="0"/>
                <w:color w:val="auto"/>
                <w:kern w:val="0"/>
                <w:sz w:val="20"/>
                <w:szCs w:val="20"/>
                <w:u w:val="none"/>
                <w:lang w:val="en-US" w:eastAsia="zh-CN" w:bidi="ar"/>
              </w:rPr>
            </w:pP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小型</w:t>
            </w:r>
          </w:p>
        </w:tc>
        <w:tc>
          <w:tcPr>
            <w:tcW w:w="86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不稳定</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镇政府</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2024</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6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10</w:t>
            </w:r>
          </w:p>
        </w:tc>
        <w:tc>
          <w:tcPr>
            <w:tcW w:w="148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341721000046</w:t>
            </w:r>
          </w:p>
        </w:tc>
        <w:tc>
          <w:tcPr>
            <w:tcW w:w="105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东至县</w:t>
            </w:r>
          </w:p>
        </w:tc>
        <w:tc>
          <w:tcPr>
            <w:tcW w:w="100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龙泉镇</w:t>
            </w:r>
          </w:p>
        </w:tc>
        <w:tc>
          <w:tcPr>
            <w:tcW w:w="153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龙泉村香炉组</w:t>
            </w:r>
          </w:p>
        </w:tc>
        <w:tc>
          <w:tcPr>
            <w:tcW w:w="186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李桂林等屋后崩塌</w:t>
            </w:r>
          </w:p>
        </w:tc>
        <w:tc>
          <w:tcPr>
            <w:tcW w:w="1011"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崩塌</w:t>
            </w:r>
          </w:p>
        </w:tc>
        <w:tc>
          <w:tcPr>
            <w:tcW w:w="710"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7</w:t>
            </w:r>
          </w:p>
        </w:tc>
        <w:tc>
          <w:tcPr>
            <w:tcW w:w="632"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26</w:t>
            </w: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50</w:t>
            </w:r>
          </w:p>
        </w:tc>
        <w:tc>
          <w:tcPr>
            <w:tcW w:w="733"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小型</w:t>
            </w:r>
          </w:p>
        </w:tc>
        <w:tc>
          <w:tcPr>
            <w:tcW w:w="865"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不稳定</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镇政府</w:t>
            </w:r>
          </w:p>
        </w:tc>
        <w:tc>
          <w:tcPr>
            <w:tcW w:w="576"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2024</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13446" w:type="dxa"/>
            <w:gridSpan w:val="14"/>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合计</w:t>
            </w:r>
          </w:p>
        </w:tc>
        <w:tc>
          <w:tcPr>
            <w:tcW w:w="578" w:type="dxa"/>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2000</w:t>
            </w:r>
          </w:p>
        </w:tc>
      </w:tr>
    </w:tbl>
    <w:p>
      <w:pPr>
        <w:spacing w:line="560" w:lineRule="exact"/>
        <w:ind w:firstLine="602" w:firstLineChars="200"/>
        <w:jc w:val="center"/>
        <w:rPr>
          <w:rFonts w:ascii="仿宋" w:hAnsi="仿宋" w:eastAsia="仿宋"/>
          <w:b/>
          <w:color w:val="auto"/>
          <w:sz w:val="30"/>
          <w:szCs w:val="30"/>
        </w:rPr>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spacing w:line="560" w:lineRule="exact"/>
        <w:ind w:firstLine="602" w:firstLineChars="200"/>
        <w:jc w:val="center"/>
        <w:rPr>
          <w:rFonts w:ascii="仿宋" w:hAnsi="仿宋" w:eastAsia="仿宋"/>
          <w:b/>
          <w:color w:val="auto"/>
          <w:sz w:val="30"/>
          <w:szCs w:val="30"/>
        </w:rPr>
      </w:pPr>
      <w:r>
        <w:rPr>
          <w:rFonts w:hint="eastAsia" w:ascii="仿宋" w:hAnsi="仿宋" w:eastAsia="仿宋"/>
          <w:b/>
          <w:color w:val="auto"/>
          <w:sz w:val="30"/>
          <w:szCs w:val="30"/>
        </w:rPr>
        <w:t xml:space="preserve">附表七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“十四五”地质灾害基层防治能力经费估算表</w:t>
      </w:r>
    </w:p>
    <w:tbl>
      <w:tblPr>
        <w:tblStyle w:val="30"/>
        <w:tblW w:w="4999" w:type="pct"/>
        <w:tblInd w:w="0" w:type="dxa"/>
        <w:shd w:val="clear" w:color="auto" w:fill="auto"/>
        <w:tblLayout w:type="autofit"/>
        <w:tblCellMar>
          <w:top w:w="0" w:type="dxa"/>
          <w:left w:w="0" w:type="dxa"/>
          <w:bottom w:w="0" w:type="dxa"/>
          <w:right w:w="0" w:type="dxa"/>
        </w:tblCellMar>
      </w:tblPr>
      <w:tblGrid>
        <w:gridCol w:w="2138"/>
        <w:gridCol w:w="4194"/>
        <w:gridCol w:w="1738"/>
        <w:gridCol w:w="3220"/>
        <w:gridCol w:w="2742"/>
      </w:tblGrid>
      <w:tr>
        <w:tblPrEx>
          <w:shd w:val="clear" w:color="auto" w:fill="auto"/>
          <w:tblCellMar>
            <w:top w:w="0" w:type="dxa"/>
            <w:left w:w="0" w:type="dxa"/>
            <w:bottom w:w="0" w:type="dxa"/>
            <w:right w:w="0" w:type="dxa"/>
          </w:tblCellMar>
        </w:tblPrEx>
        <w:trPr>
          <w:trHeight w:val="255" w:hRule="atLeast"/>
        </w:trPr>
        <w:tc>
          <w:tcPr>
            <w:tcW w:w="762" w:type="pct"/>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序号</w:t>
            </w:r>
          </w:p>
        </w:tc>
        <w:tc>
          <w:tcPr>
            <w:tcW w:w="149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名称</w:t>
            </w:r>
          </w:p>
        </w:tc>
        <w:tc>
          <w:tcPr>
            <w:tcW w:w="617"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时间</w:t>
            </w:r>
          </w:p>
        </w:tc>
        <w:tc>
          <w:tcPr>
            <w:tcW w:w="1147" w:type="pct"/>
            <w:tcBorders>
              <w:top w:val="single" w:color="000000" w:sz="8" w:space="0"/>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费用（万元）</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资金来源</w:t>
            </w:r>
          </w:p>
        </w:tc>
      </w:tr>
      <w:tr>
        <w:tblPrEx>
          <w:shd w:val="clear" w:color="auto" w:fill="auto"/>
          <w:tblCellMar>
            <w:top w:w="0" w:type="dxa"/>
            <w:left w:w="0" w:type="dxa"/>
            <w:bottom w:w="0" w:type="dxa"/>
            <w:right w:w="0" w:type="dxa"/>
          </w:tblCellMar>
        </w:tblPrEx>
        <w:trPr>
          <w:trHeight w:val="255" w:hRule="atLeast"/>
        </w:trPr>
        <w:tc>
          <w:tcPr>
            <w:tcW w:w="762"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149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基层防灾能力建设</w:t>
            </w:r>
          </w:p>
        </w:tc>
        <w:tc>
          <w:tcPr>
            <w:tcW w:w="61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147"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100</w:t>
            </w:r>
          </w:p>
        </w:tc>
        <w:tc>
          <w:tcPr>
            <w:tcW w:w="97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省、市财政</w:t>
            </w:r>
          </w:p>
        </w:tc>
      </w:tr>
      <w:tr>
        <w:tblPrEx>
          <w:shd w:val="clear" w:color="auto" w:fill="auto"/>
          <w:tblCellMar>
            <w:top w:w="0" w:type="dxa"/>
            <w:left w:w="0" w:type="dxa"/>
            <w:bottom w:w="0" w:type="dxa"/>
            <w:right w:w="0" w:type="dxa"/>
          </w:tblCellMar>
        </w:tblPrEx>
        <w:trPr>
          <w:trHeight w:val="255" w:hRule="atLeast"/>
        </w:trPr>
        <w:tc>
          <w:tcPr>
            <w:tcW w:w="762"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149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法规建设、地灾科普宣传</w:t>
            </w:r>
          </w:p>
        </w:tc>
        <w:tc>
          <w:tcPr>
            <w:tcW w:w="617"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2021-2025</w:t>
            </w:r>
          </w:p>
        </w:tc>
        <w:tc>
          <w:tcPr>
            <w:tcW w:w="1147"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97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县级财政</w:t>
            </w:r>
          </w:p>
        </w:tc>
      </w:tr>
      <w:tr>
        <w:tblPrEx>
          <w:shd w:val="clear" w:color="auto" w:fill="auto"/>
          <w:tblCellMar>
            <w:top w:w="0" w:type="dxa"/>
            <w:left w:w="0" w:type="dxa"/>
            <w:bottom w:w="0" w:type="dxa"/>
            <w:right w:w="0" w:type="dxa"/>
          </w:tblCellMar>
        </w:tblPrEx>
        <w:trPr>
          <w:trHeight w:val="315" w:hRule="atLeast"/>
        </w:trPr>
        <w:tc>
          <w:tcPr>
            <w:tcW w:w="2875" w:type="pct"/>
            <w:gridSpan w:val="3"/>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合  计</w:t>
            </w:r>
          </w:p>
        </w:tc>
        <w:tc>
          <w:tcPr>
            <w:tcW w:w="1147" w:type="pct"/>
            <w:tcBorders>
              <w:top w:val="nil"/>
              <w:left w:val="nil"/>
              <w:bottom w:val="single" w:color="000000" w:sz="8" w:space="0"/>
              <w:right w:val="nil"/>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120</w:t>
            </w:r>
          </w:p>
        </w:tc>
        <w:tc>
          <w:tcPr>
            <w:tcW w:w="9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bl>
    <w:p>
      <w:pPr>
        <w:spacing w:line="560" w:lineRule="exact"/>
        <w:ind w:firstLine="602" w:firstLineChars="200"/>
        <w:jc w:val="center"/>
        <w:rPr>
          <w:rFonts w:ascii="仿宋" w:hAnsi="仿宋" w:eastAsia="仿宋"/>
          <w:b/>
          <w:color w:val="auto"/>
          <w:sz w:val="30"/>
          <w:szCs w:val="30"/>
        </w:rPr>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pPr>
    </w:p>
    <w:p>
      <w:pPr>
        <w:spacing w:line="560" w:lineRule="exact"/>
        <w:ind w:firstLine="602" w:firstLineChars="200"/>
        <w:jc w:val="center"/>
        <w:rPr>
          <w:rFonts w:ascii="仿宋" w:hAnsi="仿宋" w:eastAsia="仿宋"/>
          <w:b/>
          <w:color w:val="auto"/>
          <w:sz w:val="30"/>
          <w:szCs w:val="30"/>
        </w:rPr>
      </w:pPr>
      <w:r>
        <w:rPr>
          <w:rFonts w:hint="eastAsia" w:ascii="仿宋" w:hAnsi="仿宋" w:eastAsia="仿宋"/>
          <w:b/>
          <w:color w:val="auto"/>
          <w:sz w:val="30"/>
          <w:szCs w:val="30"/>
        </w:rPr>
        <w:t xml:space="preserve">附表八 </w:t>
      </w:r>
      <w:r>
        <w:rPr>
          <w:rFonts w:ascii="仿宋" w:hAnsi="仿宋" w:eastAsia="仿宋"/>
          <w:b/>
          <w:color w:val="auto"/>
          <w:sz w:val="30"/>
          <w:szCs w:val="30"/>
        </w:rPr>
        <w:t xml:space="preserve">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“十四五”地质灾害信息系统建设规划及经费估算表</w:t>
      </w:r>
    </w:p>
    <w:tbl>
      <w:tblPr>
        <w:tblStyle w:val="30"/>
        <w:tblW w:w="5000" w:type="pct"/>
        <w:tblInd w:w="0" w:type="dxa"/>
        <w:tblLayout w:type="autofit"/>
        <w:tblCellMar>
          <w:top w:w="0" w:type="dxa"/>
          <w:left w:w="108" w:type="dxa"/>
          <w:bottom w:w="0" w:type="dxa"/>
          <w:right w:w="108" w:type="dxa"/>
        </w:tblCellMar>
      </w:tblPr>
      <w:tblGrid>
        <w:gridCol w:w="3448"/>
        <w:gridCol w:w="4757"/>
        <w:gridCol w:w="2017"/>
        <w:gridCol w:w="1732"/>
        <w:gridCol w:w="2267"/>
      </w:tblGrid>
      <w:tr>
        <w:tblPrEx>
          <w:tblCellMar>
            <w:top w:w="0" w:type="dxa"/>
            <w:left w:w="108" w:type="dxa"/>
            <w:bottom w:w="0" w:type="dxa"/>
            <w:right w:w="108" w:type="dxa"/>
          </w:tblCellMar>
        </w:tblPrEx>
        <w:trPr>
          <w:trHeight w:val="495" w:hRule="atLeast"/>
        </w:trPr>
        <w:tc>
          <w:tcPr>
            <w:tcW w:w="1212" w:type="pct"/>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时间安排</w:t>
            </w:r>
          </w:p>
        </w:tc>
        <w:tc>
          <w:tcPr>
            <w:tcW w:w="1672" w:type="pct"/>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建设内容</w:t>
            </w:r>
          </w:p>
        </w:tc>
        <w:tc>
          <w:tcPr>
            <w:tcW w:w="709" w:type="pct"/>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价格（万元）</w:t>
            </w:r>
          </w:p>
        </w:tc>
        <w:tc>
          <w:tcPr>
            <w:tcW w:w="607" w:type="pct"/>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数量</w:t>
            </w:r>
          </w:p>
        </w:tc>
        <w:tc>
          <w:tcPr>
            <w:tcW w:w="797" w:type="pct"/>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投资合计(万元）</w:t>
            </w:r>
          </w:p>
        </w:tc>
      </w:tr>
      <w:tr>
        <w:tblPrEx>
          <w:tblCellMar>
            <w:top w:w="0" w:type="dxa"/>
            <w:left w:w="108" w:type="dxa"/>
            <w:bottom w:w="0" w:type="dxa"/>
            <w:right w:w="108" w:type="dxa"/>
          </w:tblCellMar>
        </w:tblPrEx>
        <w:trPr>
          <w:trHeight w:val="300" w:hRule="atLeast"/>
        </w:trPr>
        <w:tc>
          <w:tcPr>
            <w:tcW w:w="1212" w:type="pct"/>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auto"/>
                <w:kern w:val="0"/>
                <w:sz w:val="20"/>
                <w:szCs w:val="20"/>
                <w:highlight w:val="none"/>
                <w:lang w:eastAsia="zh-CN"/>
              </w:rPr>
            </w:pPr>
            <w:r>
              <w:rPr>
                <w:rFonts w:ascii="宋体" w:hAnsi="宋体" w:cs="宋体"/>
                <w:color w:val="auto"/>
                <w:kern w:val="0"/>
                <w:sz w:val="20"/>
                <w:szCs w:val="20"/>
                <w:highlight w:val="none"/>
              </w:rPr>
              <w:t>202</w:t>
            </w:r>
            <w:r>
              <w:rPr>
                <w:rFonts w:hint="eastAsia" w:ascii="宋体" w:hAnsi="宋体" w:cs="宋体"/>
                <w:color w:val="auto"/>
                <w:kern w:val="0"/>
                <w:sz w:val="20"/>
                <w:szCs w:val="20"/>
                <w:highlight w:val="none"/>
                <w:lang w:val="en-US" w:eastAsia="zh-CN"/>
              </w:rPr>
              <w:t>2</w:t>
            </w:r>
          </w:p>
        </w:tc>
        <w:tc>
          <w:tcPr>
            <w:tcW w:w="1672"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rPr>
              <w:t>地质灾害监测预警平台集成数据库模块</w:t>
            </w:r>
          </w:p>
        </w:tc>
        <w:tc>
          <w:tcPr>
            <w:tcW w:w="709"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lang w:val="en-US" w:eastAsia="zh-CN"/>
              </w:rPr>
              <w:t>2</w:t>
            </w:r>
            <w:r>
              <w:rPr>
                <w:rFonts w:ascii="宋体" w:hAnsi="宋体" w:cs="宋体"/>
                <w:color w:val="auto"/>
                <w:kern w:val="0"/>
                <w:sz w:val="20"/>
                <w:szCs w:val="20"/>
              </w:rPr>
              <w:t>0</w:t>
            </w:r>
          </w:p>
        </w:tc>
        <w:tc>
          <w:tcPr>
            <w:tcW w:w="60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rPr>
              <w:t>1</w:t>
            </w:r>
          </w:p>
        </w:tc>
        <w:tc>
          <w:tcPr>
            <w:tcW w:w="79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lang w:val="en-US" w:eastAsia="zh-CN"/>
              </w:rPr>
              <w:t>2</w:t>
            </w:r>
            <w:r>
              <w:rPr>
                <w:rFonts w:ascii="宋体" w:hAnsi="宋体" w:cs="宋体"/>
                <w:color w:val="auto"/>
                <w:kern w:val="0"/>
                <w:sz w:val="20"/>
                <w:szCs w:val="20"/>
              </w:rPr>
              <w:t>0</w:t>
            </w:r>
          </w:p>
        </w:tc>
      </w:tr>
      <w:tr>
        <w:tblPrEx>
          <w:tblCellMar>
            <w:top w:w="0" w:type="dxa"/>
            <w:left w:w="108" w:type="dxa"/>
            <w:bottom w:w="0" w:type="dxa"/>
            <w:right w:w="108" w:type="dxa"/>
          </w:tblCellMar>
        </w:tblPrEx>
        <w:trPr>
          <w:trHeight w:val="300" w:hRule="atLeast"/>
        </w:trPr>
        <w:tc>
          <w:tcPr>
            <w:tcW w:w="1212" w:type="pct"/>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rPr>
              <w:t>202</w:t>
            </w:r>
            <w:r>
              <w:rPr>
                <w:rFonts w:hint="eastAsia" w:ascii="宋体" w:hAnsi="宋体" w:cs="宋体"/>
                <w:color w:val="auto"/>
                <w:kern w:val="0"/>
                <w:sz w:val="20"/>
                <w:szCs w:val="20"/>
                <w:highlight w:val="none"/>
                <w:lang w:val="en-US" w:eastAsia="zh-CN"/>
              </w:rPr>
              <w:t>3</w:t>
            </w:r>
          </w:p>
        </w:tc>
        <w:tc>
          <w:tcPr>
            <w:tcW w:w="1672"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rPr>
              <w:t>信息系统维护、升级</w:t>
            </w:r>
          </w:p>
        </w:tc>
        <w:tc>
          <w:tcPr>
            <w:tcW w:w="709"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ascii="宋体" w:hAnsi="宋体" w:cs="宋体"/>
                <w:color w:val="auto"/>
                <w:kern w:val="0"/>
                <w:sz w:val="20"/>
                <w:szCs w:val="20"/>
              </w:rPr>
              <w:t>10</w:t>
            </w:r>
          </w:p>
        </w:tc>
        <w:tc>
          <w:tcPr>
            <w:tcW w:w="60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rPr>
              <w:t>1</w:t>
            </w:r>
          </w:p>
        </w:tc>
        <w:tc>
          <w:tcPr>
            <w:tcW w:w="79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ascii="宋体" w:hAnsi="宋体" w:cs="宋体"/>
                <w:color w:val="auto"/>
                <w:kern w:val="0"/>
                <w:sz w:val="20"/>
                <w:szCs w:val="20"/>
              </w:rPr>
              <w:t>10</w:t>
            </w:r>
          </w:p>
        </w:tc>
      </w:tr>
      <w:tr>
        <w:tblPrEx>
          <w:tblCellMar>
            <w:top w:w="0" w:type="dxa"/>
            <w:left w:w="108" w:type="dxa"/>
            <w:bottom w:w="0" w:type="dxa"/>
            <w:right w:w="108" w:type="dxa"/>
          </w:tblCellMar>
        </w:tblPrEx>
        <w:trPr>
          <w:trHeight w:val="300" w:hRule="atLeast"/>
        </w:trPr>
        <w:tc>
          <w:tcPr>
            <w:tcW w:w="1212" w:type="pct"/>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宋体" w:hAnsi="宋体" w:cs="宋体"/>
                <w:color w:val="auto"/>
                <w:kern w:val="0"/>
                <w:sz w:val="20"/>
                <w:szCs w:val="20"/>
                <w:highlight w:val="none"/>
              </w:rPr>
            </w:pPr>
            <w:r>
              <w:rPr>
                <w:rFonts w:hint="eastAsia" w:ascii="宋体" w:hAnsi="宋体" w:cs="宋体"/>
                <w:color w:val="auto"/>
                <w:kern w:val="0"/>
                <w:sz w:val="20"/>
                <w:szCs w:val="20"/>
                <w:highlight w:val="none"/>
              </w:rPr>
              <w:t>202</w:t>
            </w:r>
            <w:r>
              <w:rPr>
                <w:rFonts w:hint="eastAsia" w:ascii="宋体" w:hAnsi="宋体" w:cs="宋体"/>
                <w:color w:val="auto"/>
                <w:kern w:val="0"/>
                <w:sz w:val="20"/>
                <w:szCs w:val="20"/>
                <w:highlight w:val="none"/>
                <w:lang w:val="en-US" w:eastAsia="zh-CN"/>
              </w:rPr>
              <w:t>4</w:t>
            </w:r>
          </w:p>
        </w:tc>
        <w:tc>
          <w:tcPr>
            <w:tcW w:w="1672" w:type="pct"/>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cs="宋体"/>
                <w:color w:val="auto"/>
                <w:kern w:val="0"/>
                <w:sz w:val="20"/>
                <w:szCs w:val="20"/>
              </w:rPr>
            </w:pPr>
            <w:r>
              <w:rPr>
                <w:rFonts w:hint="eastAsia" w:ascii="宋体" w:hAnsi="宋体" w:cs="宋体"/>
                <w:color w:val="auto"/>
                <w:kern w:val="0"/>
                <w:sz w:val="20"/>
                <w:szCs w:val="20"/>
              </w:rPr>
              <w:t>信息系统维护、升级</w:t>
            </w:r>
          </w:p>
        </w:tc>
        <w:tc>
          <w:tcPr>
            <w:tcW w:w="709" w:type="pct"/>
            <w:tcBorders>
              <w:top w:val="nil"/>
              <w:left w:val="nil"/>
              <w:bottom w:val="single" w:color="auto" w:sz="8" w:space="0"/>
              <w:right w:val="single" w:color="auto" w:sz="8" w:space="0"/>
            </w:tcBorders>
            <w:shd w:val="clear" w:color="auto" w:fill="auto"/>
            <w:vAlign w:val="center"/>
          </w:tcPr>
          <w:p>
            <w:pPr>
              <w:widowControl/>
              <w:jc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10</w:t>
            </w:r>
          </w:p>
        </w:tc>
        <w:tc>
          <w:tcPr>
            <w:tcW w:w="607" w:type="pct"/>
            <w:tcBorders>
              <w:top w:val="nil"/>
              <w:left w:val="nil"/>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w:t>
            </w:r>
          </w:p>
        </w:tc>
        <w:tc>
          <w:tcPr>
            <w:tcW w:w="797" w:type="pct"/>
            <w:tcBorders>
              <w:top w:val="nil"/>
              <w:left w:val="nil"/>
              <w:bottom w:val="single" w:color="auto" w:sz="8" w:space="0"/>
              <w:right w:val="single" w:color="auto" w:sz="8" w:space="0"/>
            </w:tcBorders>
            <w:shd w:val="clear" w:color="auto" w:fill="auto"/>
            <w:vAlign w:val="center"/>
          </w:tcPr>
          <w:p>
            <w:pPr>
              <w:widowControl/>
              <w:jc w:val="center"/>
              <w:rPr>
                <w:rFonts w:hint="default" w:ascii="宋体" w:hAnsi="宋体" w:eastAsia="宋体" w:cs="宋体"/>
                <w:color w:val="auto"/>
                <w:kern w:val="0"/>
                <w:sz w:val="20"/>
                <w:szCs w:val="20"/>
                <w:lang w:val="en-US" w:eastAsia="zh-CN"/>
              </w:rPr>
            </w:pPr>
            <w:r>
              <w:rPr>
                <w:rFonts w:hint="eastAsia" w:ascii="宋体" w:hAnsi="宋体" w:cs="宋体"/>
                <w:color w:val="auto"/>
                <w:kern w:val="0"/>
                <w:sz w:val="20"/>
                <w:szCs w:val="20"/>
                <w:lang w:val="en-US" w:eastAsia="zh-CN"/>
              </w:rPr>
              <w:t>10</w:t>
            </w:r>
          </w:p>
        </w:tc>
      </w:tr>
      <w:tr>
        <w:tblPrEx>
          <w:tblCellMar>
            <w:top w:w="0" w:type="dxa"/>
            <w:left w:w="108" w:type="dxa"/>
            <w:bottom w:w="0" w:type="dxa"/>
            <w:right w:w="108" w:type="dxa"/>
          </w:tblCellMar>
        </w:tblPrEx>
        <w:trPr>
          <w:trHeight w:val="300" w:hRule="atLeast"/>
        </w:trPr>
        <w:tc>
          <w:tcPr>
            <w:tcW w:w="1212" w:type="pct"/>
            <w:tcBorders>
              <w:top w:val="nil"/>
              <w:left w:val="single" w:color="auto" w:sz="8" w:space="0"/>
              <w:bottom w:val="single" w:color="auto" w:sz="8" w:space="0"/>
              <w:right w:val="single" w:color="auto" w:sz="8" w:space="0"/>
            </w:tcBorders>
            <w:shd w:val="clear" w:color="auto" w:fill="auto"/>
            <w:vAlign w:val="center"/>
          </w:tcPr>
          <w:p>
            <w:pPr>
              <w:widowControl/>
              <w:jc w:val="center"/>
              <w:rPr>
                <w:rFonts w:hint="eastAsia" w:ascii="宋体" w:hAnsi="宋体" w:eastAsia="宋体" w:cs="宋体"/>
                <w:color w:val="auto"/>
                <w:kern w:val="0"/>
                <w:sz w:val="20"/>
                <w:szCs w:val="20"/>
                <w:highlight w:val="none"/>
                <w:lang w:eastAsia="zh-CN"/>
              </w:rPr>
            </w:pPr>
            <w:r>
              <w:rPr>
                <w:rFonts w:hint="eastAsia" w:ascii="宋体" w:hAnsi="宋体" w:cs="宋体"/>
                <w:color w:val="auto"/>
                <w:kern w:val="0"/>
                <w:sz w:val="20"/>
                <w:szCs w:val="20"/>
                <w:highlight w:val="none"/>
              </w:rPr>
              <w:t>202</w:t>
            </w:r>
            <w:r>
              <w:rPr>
                <w:rFonts w:hint="eastAsia" w:ascii="宋体" w:hAnsi="宋体" w:cs="宋体"/>
                <w:color w:val="auto"/>
                <w:kern w:val="0"/>
                <w:sz w:val="20"/>
                <w:szCs w:val="20"/>
                <w:highlight w:val="none"/>
                <w:lang w:val="en-US" w:eastAsia="zh-CN"/>
              </w:rPr>
              <w:t>5</w:t>
            </w:r>
          </w:p>
        </w:tc>
        <w:tc>
          <w:tcPr>
            <w:tcW w:w="1672"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rPr>
              <w:t>信息系统维护、升级</w:t>
            </w:r>
          </w:p>
        </w:tc>
        <w:tc>
          <w:tcPr>
            <w:tcW w:w="709"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ascii="宋体" w:hAnsi="宋体" w:cs="宋体"/>
                <w:color w:val="auto"/>
                <w:kern w:val="0"/>
                <w:sz w:val="20"/>
                <w:szCs w:val="20"/>
              </w:rPr>
              <w:t>10</w:t>
            </w:r>
          </w:p>
        </w:tc>
        <w:tc>
          <w:tcPr>
            <w:tcW w:w="60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hint="eastAsia" w:ascii="宋体" w:hAnsi="宋体" w:cs="宋体"/>
                <w:color w:val="auto"/>
                <w:kern w:val="0"/>
                <w:sz w:val="20"/>
                <w:szCs w:val="20"/>
              </w:rPr>
              <w:t>1</w:t>
            </w:r>
          </w:p>
        </w:tc>
        <w:tc>
          <w:tcPr>
            <w:tcW w:w="79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color w:val="auto"/>
                <w:kern w:val="0"/>
                <w:sz w:val="20"/>
                <w:szCs w:val="20"/>
              </w:rPr>
            </w:pPr>
            <w:r>
              <w:rPr>
                <w:rFonts w:ascii="宋体" w:hAnsi="宋体" w:cs="宋体"/>
                <w:color w:val="auto"/>
                <w:kern w:val="0"/>
                <w:sz w:val="20"/>
                <w:szCs w:val="20"/>
              </w:rPr>
              <w:t>10</w:t>
            </w:r>
          </w:p>
        </w:tc>
      </w:tr>
      <w:tr>
        <w:tblPrEx>
          <w:tblCellMar>
            <w:top w:w="0" w:type="dxa"/>
            <w:left w:w="108" w:type="dxa"/>
            <w:bottom w:w="0" w:type="dxa"/>
            <w:right w:w="108" w:type="dxa"/>
          </w:tblCellMar>
        </w:tblPrEx>
        <w:trPr>
          <w:trHeight w:val="300" w:hRule="atLeast"/>
        </w:trPr>
        <w:tc>
          <w:tcPr>
            <w:tcW w:w="4202" w:type="pct"/>
            <w:gridSpan w:val="4"/>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rPr>
              <w:t>合 计</w:t>
            </w:r>
          </w:p>
        </w:tc>
        <w:tc>
          <w:tcPr>
            <w:tcW w:w="797" w:type="pct"/>
            <w:tcBorders>
              <w:top w:val="nil"/>
              <w:left w:val="nil"/>
              <w:bottom w:val="single" w:color="auto" w:sz="8" w:space="0"/>
              <w:right w:val="single" w:color="auto" w:sz="8" w:space="0"/>
            </w:tcBorders>
            <w:shd w:val="clear" w:color="auto" w:fill="auto"/>
            <w:vAlign w:val="center"/>
          </w:tcPr>
          <w:p>
            <w:pPr>
              <w:widowControl/>
              <w:jc w:val="center"/>
              <w:rPr>
                <w:rFonts w:ascii="宋体" w:hAnsi="宋体" w:cs="宋体"/>
                <w:b/>
                <w:bCs/>
                <w:color w:val="auto"/>
                <w:kern w:val="0"/>
                <w:sz w:val="20"/>
                <w:szCs w:val="20"/>
              </w:rPr>
            </w:pPr>
            <w:r>
              <w:rPr>
                <w:rFonts w:hint="eastAsia" w:ascii="宋体" w:hAnsi="宋体" w:cs="宋体"/>
                <w:b/>
                <w:bCs/>
                <w:color w:val="auto"/>
                <w:kern w:val="0"/>
                <w:sz w:val="20"/>
                <w:szCs w:val="20"/>
                <w:lang w:val="en-US" w:eastAsia="zh-CN"/>
              </w:rPr>
              <w:t>5</w:t>
            </w:r>
            <w:r>
              <w:rPr>
                <w:rFonts w:ascii="宋体" w:hAnsi="宋体" w:cs="宋体"/>
                <w:b/>
                <w:bCs/>
                <w:color w:val="auto"/>
                <w:kern w:val="0"/>
                <w:sz w:val="20"/>
                <w:szCs w:val="20"/>
              </w:rPr>
              <w:t>0</w:t>
            </w:r>
          </w:p>
        </w:tc>
      </w:tr>
    </w:tbl>
    <w:p>
      <w:pPr>
        <w:spacing w:line="560" w:lineRule="exact"/>
        <w:ind w:firstLine="602" w:firstLineChars="200"/>
        <w:jc w:val="center"/>
        <w:rPr>
          <w:rFonts w:ascii="仿宋" w:hAnsi="仿宋" w:eastAsia="仿宋"/>
          <w:b/>
          <w:color w:val="auto"/>
          <w:sz w:val="30"/>
          <w:szCs w:val="30"/>
        </w:rPr>
      </w:pPr>
    </w:p>
    <w:p>
      <w:pPr>
        <w:pStyle w:val="2"/>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pPr>
    </w:p>
    <w:tbl>
      <w:tblPr>
        <w:tblW w:w="4997" w:type="pct"/>
        <w:tblInd w:w="0" w:type="dxa"/>
        <w:shd w:val="clear"/>
        <w:tblLayout w:type="autofit"/>
        <w:tblCellMar>
          <w:top w:w="0" w:type="dxa"/>
          <w:left w:w="0" w:type="dxa"/>
          <w:bottom w:w="0" w:type="dxa"/>
          <w:right w:w="0" w:type="dxa"/>
        </w:tblCellMar>
      </w:tblPr>
      <w:tblGrid>
        <w:gridCol w:w="1765"/>
        <w:gridCol w:w="4264"/>
        <w:gridCol w:w="2101"/>
        <w:gridCol w:w="2348"/>
        <w:gridCol w:w="3549"/>
      </w:tblGrid>
      <w:tr>
        <w:tblPrEx>
          <w:shd w:val="clear"/>
        </w:tblPrEx>
        <w:trPr>
          <w:trHeight w:val="300" w:hRule="atLeast"/>
        </w:trPr>
        <w:tc>
          <w:tcPr>
            <w:tcW w:w="5000" w:type="pct"/>
            <w:gridSpan w:val="5"/>
            <w:tcBorders>
              <w:top w:val="nil"/>
              <w:left w:val="nil"/>
              <w:bottom w:val="single" w:color="auto" w:sz="4" w:space="0"/>
              <w:right w:val="nil"/>
            </w:tcBorders>
            <w:shd w:val="clear"/>
            <w:noWrap/>
            <w:tcMar>
              <w:top w:w="15" w:type="dxa"/>
              <w:left w:w="15" w:type="dxa"/>
              <w:right w:w="15" w:type="dxa"/>
            </w:tcMar>
            <w:vAlign w:val="center"/>
          </w:tcPr>
          <w:p>
            <w:pPr>
              <w:spacing w:line="560" w:lineRule="exact"/>
              <w:ind w:firstLine="602" w:firstLineChars="200"/>
              <w:jc w:val="center"/>
              <w:rPr>
                <w:rFonts w:hint="default" w:ascii="宋体" w:hAnsi="宋体" w:eastAsia="宋体" w:cs="宋体"/>
                <w:b/>
                <w:i w:val="0"/>
                <w:color w:val="000000"/>
                <w:kern w:val="0"/>
                <w:sz w:val="20"/>
                <w:szCs w:val="20"/>
                <w:u w:val="none"/>
                <w:bdr w:val="none" w:color="auto" w:sz="0" w:space="0"/>
                <w:lang w:val="en-US" w:eastAsia="zh-CN" w:bidi="ar"/>
              </w:rPr>
            </w:pPr>
            <w:r>
              <w:rPr>
                <w:rFonts w:hint="eastAsia" w:ascii="仿宋" w:hAnsi="仿宋" w:eastAsia="仿宋"/>
                <w:b/>
                <w:color w:val="auto"/>
                <w:sz w:val="30"/>
                <w:szCs w:val="30"/>
              </w:rPr>
              <w:t>附表</w:t>
            </w:r>
            <w:r>
              <w:rPr>
                <w:rFonts w:hint="eastAsia" w:ascii="仿宋" w:hAnsi="仿宋" w:eastAsia="仿宋"/>
                <w:b/>
                <w:color w:val="auto"/>
                <w:sz w:val="30"/>
                <w:szCs w:val="30"/>
                <w:lang w:val="en-US" w:eastAsia="zh-CN"/>
              </w:rPr>
              <w:t>九</w:t>
            </w:r>
            <w:r>
              <w:rPr>
                <w:rFonts w:hint="eastAsia" w:ascii="仿宋" w:hAnsi="仿宋" w:eastAsia="仿宋"/>
                <w:b/>
                <w:color w:val="auto"/>
                <w:sz w:val="30"/>
                <w:szCs w:val="30"/>
              </w:rPr>
              <w:t xml:space="preserve">  </w:t>
            </w:r>
            <w:r>
              <w:rPr>
                <w:rFonts w:hint="eastAsia" w:ascii="仿宋" w:hAnsi="仿宋" w:eastAsia="仿宋"/>
                <w:b/>
                <w:color w:val="auto"/>
                <w:sz w:val="30"/>
                <w:szCs w:val="30"/>
                <w:lang w:val="en-US" w:eastAsia="zh-CN"/>
              </w:rPr>
              <w:t>东至县“十四五”重点乡镇1：1 万地质灾害详细调查表</w:t>
            </w:r>
            <w:bookmarkStart w:id="146" w:name="_GoBack"/>
            <w:bookmarkEnd w:id="146"/>
          </w:p>
        </w:tc>
      </w:tr>
      <w:tr>
        <w:tblPrEx>
          <w:shd w:val="clear"/>
          <w:tblCellMar>
            <w:top w:w="0" w:type="dxa"/>
            <w:left w:w="0" w:type="dxa"/>
            <w:bottom w:w="0" w:type="dxa"/>
            <w:right w:w="0" w:type="dxa"/>
          </w:tblCellMar>
        </w:tblPrEx>
        <w:trPr>
          <w:trHeight w:val="300" w:hRule="atLeast"/>
        </w:trPr>
        <w:tc>
          <w:tcPr>
            <w:tcW w:w="629" w:type="pct"/>
            <w:tcBorders>
              <w:top w:val="single" w:color="auto" w:sz="4" w:space="0"/>
              <w:left w:val="single" w:color="000000" w:sz="8" w:space="0"/>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bdr w:val="none" w:color="auto" w:sz="0" w:space="0"/>
                <w:lang w:val="en-US" w:eastAsia="zh-CN" w:bidi="ar"/>
              </w:rPr>
              <w:t>序号</w:t>
            </w:r>
          </w:p>
        </w:tc>
        <w:tc>
          <w:tcPr>
            <w:tcW w:w="1520" w:type="pct"/>
            <w:tcBorders>
              <w:top w:val="single" w:color="auto" w:sz="4" w:space="0"/>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bdr w:val="none" w:color="auto" w:sz="0" w:space="0"/>
                <w:lang w:val="en-US" w:eastAsia="zh-CN" w:bidi="ar"/>
              </w:rPr>
              <w:t>重点乡镇</w:t>
            </w:r>
          </w:p>
        </w:tc>
        <w:tc>
          <w:tcPr>
            <w:tcW w:w="749" w:type="pct"/>
            <w:tcBorders>
              <w:top w:val="single" w:color="auto" w:sz="4" w:space="0"/>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bdr w:val="none" w:color="auto" w:sz="0" w:space="0"/>
                <w:lang w:val="en-US" w:eastAsia="zh-CN" w:bidi="ar"/>
              </w:rPr>
              <w:t>时间安排</w:t>
            </w:r>
          </w:p>
        </w:tc>
        <w:tc>
          <w:tcPr>
            <w:tcW w:w="837" w:type="pct"/>
            <w:tcBorders>
              <w:top w:val="single" w:color="auto" w:sz="4" w:space="0"/>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bdr w:val="none" w:color="auto" w:sz="0" w:space="0"/>
                <w:lang w:val="en-US" w:eastAsia="zh-CN" w:bidi="ar"/>
              </w:rPr>
              <w:t>灾种</w:t>
            </w:r>
          </w:p>
        </w:tc>
        <w:tc>
          <w:tcPr>
            <w:tcW w:w="1262" w:type="pct"/>
            <w:tcBorders>
              <w:top w:val="single" w:color="auto" w:sz="4" w:space="0"/>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0"/>
                <w:szCs w:val="20"/>
                <w:u w:val="none"/>
              </w:rPr>
            </w:pPr>
            <w:r>
              <w:rPr>
                <w:rFonts w:hint="eastAsia" w:ascii="宋体" w:hAnsi="宋体" w:eastAsia="宋体" w:cs="宋体"/>
                <w:b/>
                <w:i w:val="0"/>
                <w:color w:val="000000"/>
                <w:kern w:val="0"/>
                <w:sz w:val="20"/>
                <w:szCs w:val="20"/>
                <w:u w:val="none"/>
                <w:bdr w:val="none" w:color="auto" w:sz="0" w:space="0"/>
                <w:lang w:val="en-US" w:eastAsia="zh-CN" w:bidi="ar"/>
              </w:rPr>
              <w:t>费用估算（万元）</w:t>
            </w:r>
          </w:p>
        </w:tc>
      </w:tr>
      <w:tr>
        <w:tblPrEx>
          <w:shd w:val="clear"/>
          <w:tblCellMar>
            <w:top w:w="0" w:type="dxa"/>
            <w:left w:w="0" w:type="dxa"/>
            <w:bottom w:w="0" w:type="dxa"/>
            <w:right w:w="0" w:type="dxa"/>
          </w:tblCellMar>
        </w:tblPrEx>
        <w:trPr>
          <w:trHeight w:val="300" w:hRule="atLeast"/>
        </w:trPr>
        <w:tc>
          <w:tcPr>
            <w:tcW w:w="629" w:type="pct"/>
            <w:tcBorders>
              <w:top w:val="nil"/>
              <w:left w:val="single" w:color="000000" w:sz="8" w:space="0"/>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none" w:color="auto" w:sz="0" w:space="0"/>
                <w:lang w:val="en-US" w:eastAsia="zh-CN" w:bidi="ar"/>
              </w:rPr>
              <w:t>1</w:t>
            </w:r>
          </w:p>
        </w:tc>
        <w:tc>
          <w:tcPr>
            <w:tcW w:w="1520" w:type="pct"/>
            <w:tcBorders>
              <w:top w:val="nil"/>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none" w:color="auto" w:sz="0" w:space="0"/>
                <w:lang w:val="en-US" w:eastAsia="zh-CN" w:bidi="ar"/>
              </w:rPr>
              <w:t>池州市东至县官港镇</w:t>
            </w:r>
          </w:p>
        </w:tc>
        <w:tc>
          <w:tcPr>
            <w:tcW w:w="749" w:type="pct"/>
            <w:tcBorders>
              <w:top w:val="nil"/>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none" w:color="auto" w:sz="0" w:space="0"/>
                <w:lang w:val="en-US" w:eastAsia="zh-CN" w:bidi="ar"/>
              </w:rPr>
              <w:t>2024</w:t>
            </w:r>
          </w:p>
        </w:tc>
        <w:tc>
          <w:tcPr>
            <w:tcW w:w="837" w:type="pct"/>
            <w:tcBorders>
              <w:top w:val="nil"/>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none" w:color="auto" w:sz="0" w:space="0"/>
                <w:lang w:val="en-US" w:eastAsia="zh-CN" w:bidi="ar"/>
              </w:rPr>
              <w:t>滑坡</w:t>
            </w:r>
          </w:p>
        </w:tc>
        <w:tc>
          <w:tcPr>
            <w:tcW w:w="1262" w:type="pct"/>
            <w:tcBorders>
              <w:top w:val="nil"/>
              <w:left w:val="nil"/>
              <w:bottom w:val="single" w:color="000000" w:sz="8" w:space="0"/>
              <w:right w:val="single" w:color="000000" w:sz="8" w:space="0"/>
            </w:tcBorders>
            <w:shd w:val="clear"/>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bdr w:val="none" w:color="auto" w:sz="0" w:space="0"/>
                <w:lang w:val="en-US" w:eastAsia="zh-CN" w:bidi="ar"/>
              </w:rPr>
              <w:t>100</w:t>
            </w:r>
          </w:p>
        </w:tc>
      </w:tr>
    </w:tbl>
    <w:p>
      <w:pPr>
        <w:rPr>
          <w:rFonts w:hint="eastAsia" w:ascii="仿宋" w:hAnsi="仿宋" w:eastAsia="仿宋"/>
          <w:b/>
          <w:color w:val="auto"/>
          <w:sz w:val="30"/>
          <w:szCs w:val="30"/>
        </w:rPr>
      </w:pPr>
      <w:r>
        <w:rPr>
          <w:rFonts w:hint="eastAsia" w:ascii="仿宋" w:hAnsi="仿宋" w:eastAsia="仿宋"/>
          <w:b/>
          <w:color w:val="auto"/>
          <w:sz w:val="30"/>
          <w:szCs w:val="30"/>
        </w:rPr>
        <w:br w:type="page"/>
      </w:r>
    </w:p>
    <w:p>
      <w:pPr>
        <w:spacing w:line="560" w:lineRule="exact"/>
        <w:ind w:firstLine="602" w:firstLineChars="200"/>
        <w:jc w:val="center"/>
        <w:rPr>
          <w:rFonts w:hint="eastAsia" w:ascii="仿宋" w:hAnsi="仿宋" w:eastAsia="仿宋"/>
          <w:b/>
          <w:color w:val="auto"/>
          <w:sz w:val="30"/>
          <w:szCs w:val="30"/>
        </w:rPr>
      </w:pPr>
      <w:r>
        <w:rPr>
          <w:rFonts w:hint="eastAsia" w:ascii="仿宋" w:hAnsi="仿宋" w:eastAsia="仿宋"/>
          <w:b/>
          <w:color w:val="auto"/>
          <w:sz w:val="30"/>
          <w:szCs w:val="30"/>
        </w:rPr>
        <w:t>附表</w:t>
      </w:r>
      <w:r>
        <w:rPr>
          <w:rFonts w:hint="eastAsia" w:ascii="仿宋" w:hAnsi="仿宋" w:eastAsia="仿宋"/>
          <w:b/>
          <w:color w:val="auto"/>
          <w:sz w:val="30"/>
          <w:szCs w:val="30"/>
          <w:lang w:val="en-US" w:eastAsia="zh-CN"/>
        </w:rPr>
        <w:t>十</w:t>
      </w:r>
      <w:r>
        <w:rPr>
          <w:rFonts w:hint="eastAsia" w:ascii="仿宋" w:hAnsi="仿宋" w:eastAsia="仿宋"/>
          <w:b/>
          <w:color w:val="auto"/>
          <w:sz w:val="30"/>
          <w:szCs w:val="30"/>
        </w:rPr>
        <w:t xml:space="preserve">  </w:t>
      </w:r>
      <w:r>
        <w:rPr>
          <w:rFonts w:hint="eastAsia" w:ascii="仿宋" w:hAnsi="仿宋" w:eastAsia="仿宋"/>
          <w:b/>
          <w:color w:val="auto"/>
          <w:sz w:val="30"/>
          <w:szCs w:val="30"/>
          <w:lang w:val="en-US" w:eastAsia="zh-CN"/>
        </w:rPr>
        <w:t>东至县</w:t>
      </w:r>
      <w:r>
        <w:rPr>
          <w:rFonts w:hint="eastAsia" w:ascii="仿宋" w:hAnsi="仿宋" w:eastAsia="仿宋"/>
          <w:b/>
          <w:color w:val="auto"/>
          <w:sz w:val="30"/>
          <w:szCs w:val="30"/>
        </w:rPr>
        <w:t>各</w:t>
      </w:r>
      <w:r>
        <w:rPr>
          <w:rFonts w:hint="eastAsia" w:ascii="仿宋" w:hAnsi="仿宋" w:eastAsia="仿宋"/>
          <w:b/>
          <w:color w:val="auto"/>
          <w:sz w:val="30"/>
          <w:szCs w:val="30"/>
          <w:lang w:val="en-US" w:eastAsia="zh-CN"/>
        </w:rPr>
        <w:t>乡镇</w:t>
      </w:r>
      <w:r>
        <w:rPr>
          <w:rFonts w:hint="eastAsia" w:ascii="仿宋" w:hAnsi="仿宋" w:eastAsia="仿宋"/>
          <w:b/>
          <w:color w:val="auto"/>
          <w:sz w:val="30"/>
          <w:szCs w:val="30"/>
        </w:rPr>
        <w:t>地质灾害隐患点统计一览表</w:t>
      </w:r>
    </w:p>
    <w:tbl>
      <w:tblPr>
        <w:tblStyle w:val="30"/>
        <w:tblW w:w="4998" w:type="pct"/>
        <w:jc w:val="center"/>
        <w:shd w:val="clear" w:color="auto" w:fill="auto"/>
        <w:tblLayout w:type="autofit"/>
        <w:tblCellMar>
          <w:top w:w="0" w:type="dxa"/>
          <w:left w:w="0" w:type="dxa"/>
          <w:bottom w:w="0" w:type="dxa"/>
          <w:right w:w="0" w:type="dxa"/>
        </w:tblCellMar>
      </w:tblPr>
      <w:tblGrid>
        <w:gridCol w:w="740"/>
        <w:gridCol w:w="740"/>
        <w:gridCol w:w="1689"/>
        <w:gridCol w:w="387"/>
        <w:gridCol w:w="387"/>
        <w:gridCol w:w="1338"/>
        <w:gridCol w:w="508"/>
        <w:gridCol w:w="508"/>
        <w:gridCol w:w="744"/>
        <w:gridCol w:w="979"/>
        <w:gridCol w:w="988"/>
        <w:gridCol w:w="744"/>
        <w:gridCol w:w="508"/>
        <w:gridCol w:w="508"/>
        <w:gridCol w:w="511"/>
        <w:gridCol w:w="744"/>
        <w:gridCol w:w="979"/>
        <w:gridCol w:w="525"/>
        <w:gridCol w:w="502"/>
      </w:tblGrid>
      <w:tr>
        <w:tblPrEx>
          <w:tblCellMar>
            <w:top w:w="0" w:type="dxa"/>
            <w:left w:w="0" w:type="dxa"/>
            <w:bottom w:w="0" w:type="dxa"/>
            <w:right w:w="0" w:type="dxa"/>
          </w:tblCellMar>
        </w:tblPrEx>
        <w:trPr>
          <w:trHeight w:val="300" w:hRule="atLeast"/>
          <w:jc w:val="center"/>
        </w:trPr>
        <w:tc>
          <w:tcPr>
            <w:tcW w:w="264"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县</w:t>
            </w:r>
          </w:p>
        </w:tc>
        <w:tc>
          <w:tcPr>
            <w:tcW w:w="264"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镇</w:t>
            </w:r>
          </w:p>
        </w:tc>
        <w:tc>
          <w:tcPr>
            <w:tcW w:w="602"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3688" w:type="pct"/>
            <w:gridSpan w:val="1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firstLineChars="90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现有隐患点情况</w:t>
            </w:r>
          </w:p>
        </w:tc>
        <w:tc>
          <w:tcPr>
            <w:tcW w:w="181"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备注</w:t>
            </w:r>
          </w:p>
        </w:tc>
      </w:tr>
      <w:tr>
        <w:tblPrEx>
          <w:shd w:val="clear" w:color="auto" w:fill="auto"/>
          <w:tblCellMar>
            <w:top w:w="0" w:type="dxa"/>
            <w:left w:w="0" w:type="dxa"/>
            <w:bottom w:w="0" w:type="dxa"/>
            <w:right w:w="0" w:type="dxa"/>
          </w:tblCellMar>
        </w:tblPrEx>
        <w:trPr>
          <w:trHeight w:val="315"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64"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60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现有总数（处）</w:t>
            </w:r>
          </w:p>
        </w:tc>
        <w:tc>
          <w:tcPr>
            <w:tcW w:w="753" w:type="pct"/>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威胁对象</w:t>
            </w:r>
          </w:p>
        </w:tc>
        <w:tc>
          <w:tcPr>
            <w:tcW w:w="1328" w:type="pct"/>
            <w:gridSpan w:val="5"/>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灾害类型（处）</w:t>
            </w:r>
          </w:p>
        </w:tc>
        <w:tc>
          <w:tcPr>
            <w:tcW w:w="809" w:type="pct"/>
            <w:gridSpan w:val="4"/>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危险等级（处）</w:t>
            </w:r>
          </w:p>
        </w:tc>
        <w:tc>
          <w:tcPr>
            <w:tcW w:w="797" w:type="pct"/>
            <w:gridSpan w:val="3"/>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稳定程度（处）</w:t>
            </w: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r>
      <w:tr>
        <w:tblPrEx>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64"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60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38"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户</w:t>
            </w:r>
          </w:p>
        </w:tc>
        <w:tc>
          <w:tcPr>
            <w:tcW w:w="138"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人</w:t>
            </w:r>
          </w:p>
        </w:tc>
        <w:tc>
          <w:tcPr>
            <w:tcW w:w="477"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财产 (万元)</w:t>
            </w:r>
          </w:p>
        </w:tc>
        <w:tc>
          <w:tcPr>
            <w:tcW w:w="181"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崩塌</w:t>
            </w:r>
          </w:p>
        </w:tc>
        <w:tc>
          <w:tcPr>
            <w:tcW w:w="181"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滑坡</w:t>
            </w:r>
          </w:p>
        </w:tc>
        <w:tc>
          <w:tcPr>
            <w:tcW w:w="265"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泥石流</w:t>
            </w:r>
          </w:p>
        </w:tc>
        <w:tc>
          <w:tcPr>
            <w:tcW w:w="349"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地面塌陷</w:t>
            </w:r>
          </w:p>
        </w:tc>
        <w:tc>
          <w:tcPr>
            <w:tcW w:w="350"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地面沉降</w:t>
            </w:r>
          </w:p>
        </w:tc>
        <w:tc>
          <w:tcPr>
            <w:tcW w:w="265"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特大型</w:t>
            </w:r>
          </w:p>
        </w:tc>
        <w:tc>
          <w:tcPr>
            <w:tcW w:w="181"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大型</w:t>
            </w:r>
          </w:p>
        </w:tc>
        <w:tc>
          <w:tcPr>
            <w:tcW w:w="181"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中型</w:t>
            </w:r>
          </w:p>
        </w:tc>
        <w:tc>
          <w:tcPr>
            <w:tcW w:w="181"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小型</w:t>
            </w:r>
          </w:p>
        </w:tc>
        <w:tc>
          <w:tcPr>
            <w:tcW w:w="265"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不稳定</w:t>
            </w:r>
          </w:p>
        </w:tc>
        <w:tc>
          <w:tcPr>
            <w:tcW w:w="349"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基本稳定</w:t>
            </w:r>
          </w:p>
        </w:tc>
        <w:tc>
          <w:tcPr>
            <w:tcW w:w="182" w:type="pct"/>
            <w:vMerge w:val="restar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稳定</w:t>
            </w: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r>
      <w:tr>
        <w:tblPrEx>
          <w:shd w:val="clear" w:color="auto" w:fill="auto"/>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64"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60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38"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38"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477"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65"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349"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350"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65"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265"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349"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2"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c>
          <w:tcPr>
            <w:tcW w:w="181" w:type="pct"/>
            <w:vMerge w:val="continue"/>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b/>
                <w:i w:val="0"/>
                <w:color w:val="auto"/>
                <w:sz w:val="20"/>
                <w:szCs w:val="20"/>
                <w:u w:val="none"/>
              </w:rPr>
            </w:pPr>
          </w:p>
        </w:tc>
      </w:tr>
      <w:tr>
        <w:tblPrEx>
          <w:shd w:val="clear" w:color="auto" w:fill="auto"/>
          <w:tblCellMar>
            <w:top w:w="0" w:type="dxa"/>
            <w:left w:w="0" w:type="dxa"/>
            <w:bottom w:w="0" w:type="dxa"/>
            <w:right w:w="0" w:type="dxa"/>
          </w:tblCellMar>
        </w:tblPrEx>
        <w:trPr>
          <w:trHeight w:val="300" w:hRule="atLeast"/>
          <w:jc w:val="center"/>
        </w:trPr>
        <w:tc>
          <w:tcPr>
            <w:tcW w:w="264" w:type="pct"/>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东至县</w:t>
            </w: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葛公镇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136</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413</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1339</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19</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18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官港镇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w:t>
            </w:r>
          </w:p>
        </w:tc>
        <w:tc>
          <w:tcPr>
            <w:tcW w:w="13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36</w:t>
            </w:r>
          </w:p>
        </w:tc>
        <w:tc>
          <w:tcPr>
            <w:tcW w:w="13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149</w:t>
            </w:r>
          </w:p>
        </w:tc>
        <w:tc>
          <w:tcPr>
            <w:tcW w:w="47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1360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15</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19</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18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花园乡</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28</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160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龙泉镇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24</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119</w:t>
            </w:r>
          </w:p>
        </w:tc>
        <w:tc>
          <w:tcPr>
            <w:tcW w:w="47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201</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木塔乡</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26</w:t>
            </w:r>
          </w:p>
        </w:tc>
        <w:tc>
          <w:tcPr>
            <w:tcW w:w="13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59</w:t>
            </w:r>
          </w:p>
        </w:tc>
        <w:tc>
          <w:tcPr>
            <w:tcW w:w="13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217</w:t>
            </w:r>
          </w:p>
        </w:tc>
        <w:tc>
          <w:tcPr>
            <w:tcW w:w="47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655</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17</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26</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26</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泥溪镇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c>
          <w:tcPr>
            <w:tcW w:w="13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w:t>
            </w:r>
          </w:p>
        </w:tc>
        <w:tc>
          <w:tcPr>
            <w:tcW w:w="13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75</w:t>
            </w:r>
          </w:p>
        </w:tc>
        <w:tc>
          <w:tcPr>
            <w:tcW w:w="47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429</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14</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405"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青山乡</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23</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45</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香隅镇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18</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80</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228</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洋湖镇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19</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89</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尧渡镇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59</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221</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1148</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4</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12</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tblCellMar>
            <w:top w:w="0" w:type="dxa"/>
            <w:left w:w="0" w:type="dxa"/>
            <w:bottom w:w="0" w:type="dxa"/>
            <w:right w:w="0" w:type="dxa"/>
          </w:tblCellMar>
        </w:tblPrEx>
        <w:trPr>
          <w:trHeight w:val="300"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张溪镇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9</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35</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200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3</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w:t>
            </w: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r>
        <w:tblPrEx>
          <w:shd w:val="clear" w:color="auto" w:fill="auto"/>
          <w:tblCellMar>
            <w:top w:w="0" w:type="dxa"/>
            <w:left w:w="0" w:type="dxa"/>
            <w:bottom w:w="0" w:type="dxa"/>
            <w:right w:w="0" w:type="dxa"/>
          </w:tblCellMar>
        </w:tblPrEx>
        <w:trPr>
          <w:trHeight w:val="285" w:hRule="atLeast"/>
          <w:jc w:val="center"/>
        </w:trPr>
        <w:tc>
          <w:tcPr>
            <w:tcW w:w="264"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2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昭潭镇</w:t>
            </w:r>
          </w:p>
        </w:tc>
        <w:tc>
          <w:tcPr>
            <w:tcW w:w="60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bottom"/>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25</w:t>
            </w:r>
          </w:p>
        </w:tc>
        <w:tc>
          <w:tcPr>
            <w:tcW w:w="13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105</w:t>
            </w:r>
          </w:p>
        </w:tc>
        <w:tc>
          <w:tcPr>
            <w:tcW w:w="477"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185</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6</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1</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35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26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0</w:t>
            </w:r>
          </w:p>
        </w:tc>
        <w:tc>
          <w:tcPr>
            <w:tcW w:w="1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c>
          <w:tcPr>
            <w:tcW w:w="265"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auto"/>
                <w:sz w:val="20"/>
                <w:szCs w:val="20"/>
                <w:u w:val="none"/>
              </w:rPr>
            </w:pPr>
            <w:r>
              <w:rPr>
                <w:rFonts w:hint="eastAsia" w:ascii="宋体" w:hAnsi="宋体" w:eastAsia="宋体" w:cs="宋体"/>
                <w:i w:val="0"/>
                <w:color w:val="auto"/>
                <w:kern w:val="0"/>
                <w:sz w:val="20"/>
                <w:szCs w:val="20"/>
                <w:u w:val="none"/>
                <w:lang w:val="en-US" w:eastAsia="zh-CN" w:bidi="ar"/>
              </w:rPr>
              <w:t>7</w:t>
            </w:r>
          </w:p>
        </w:tc>
        <w:tc>
          <w:tcPr>
            <w:tcW w:w="349"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2"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c>
          <w:tcPr>
            <w:tcW w:w="18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auto"/>
                <w:sz w:val="20"/>
                <w:szCs w:val="20"/>
                <w:u w:val="none"/>
              </w:rPr>
            </w:pPr>
          </w:p>
        </w:tc>
      </w:tr>
    </w:tbl>
    <w:p>
      <w:pPr>
        <w:pStyle w:val="2"/>
        <w:rPr>
          <w:color w:val="auto"/>
        </w:rPr>
      </w:pPr>
    </w:p>
    <w:sectPr>
      <w:pgSz w:w="16840" w:h="11907" w:orient="landscape"/>
      <w:pgMar w:top="1247" w:right="1588" w:bottom="1361" w:left="1247" w:header="851" w:footer="992" w:gutter="0"/>
      <w:pgBorders>
        <w:top w:val="none" w:sz="0" w:space="0"/>
        <w:left w:val="none" w:sz="0" w:space="0"/>
        <w:bottom w:val="none" w:sz="0" w:space="0"/>
        <w:right w:val="none" w:sz="0" w:space="0"/>
      </w:pgBorders>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楷体_GB2312">
    <w:altName w:val="楷体"/>
    <w:panose1 w:val="00000000000000000000"/>
    <w:charset w:val="86"/>
    <w:family w:val="modern"/>
    <w:pitch w:val="default"/>
    <w:sig w:usb0="00000000" w:usb1="00000000" w:usb2="0000001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Arial Unicode MS">
    <w:panose1 w:val="020B0604020202020204"/>
    <w:charset w:val="86"/>
    <w:family w:val="swiss"/>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4"/>
      </w:rPr>
    </w:pPr>
    <w:r>
      <w:rPr>
        <w:rStyle w:val="34"/>
      </w:rPr>
      <w:fldChar w:fldCharType="begin"/>
    </w:r>
    <w:r>
      <w:rPr>
        <w:rStyle w:val="34"/>
      </w:rPr>
      <w:instrText xml:space="preserve">PAGE  </w:instrText>
    </w:r>
    <w:r>
      <w:rPr>
        <w:rStyle w:val="34"/>
      </w:rPr>
      <w:fldChar w:fldCharType="end"/>
    </w:r>
  </w:p>
  <w:p>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3974290"/>
      <w:docPartObj>
        <w:docPartGallery w:val="autotext"/>
      </w:docPartObj>
    </w:sdtPr>
    <w:sdtContent>
      <w:p>
        <w:pPr>
          <w:pStyle w:val="18"/>
          <w:jc w:val="center"/>
        </w:pPr>
        <w:r>
          <w:fldChar w:fldCharType="begin"/>
        </w:r>
        <w:r>
          <w:instrText xml:space="preserve">PAGE   \* MERGEFORMAT</w:instrText>
        </w:r>
        <w:r>
          <w:fldChar w:fldCharType="separate"/>
        </w:r>
        <w:r>
          <w:rPr>
            <w:lang w:val="zh-CN"/>
          </w:rPr>
          <w:t>2</w:t>
        </w:r>
        <w:r>
          <w:fldChar w:fldCharType="end"/>
        </w:r>
      </w:p>
    </w:sdtContent>
  </w:sdt>
  <w:p>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675882214"/>
                            <w:docPartObj>
                              <w:docPartGallery w:val="autotext"/>
                            </w:docPartObj>
                          </w:sdtPr>
                          <w:sdtContent>
                            <w:p>
                              <w:pPr>
                                <w:pStyle w:val="18"/>
                                <w:jc w:val="center"/>
                              </w:pPr>
                              <w:r>
                                <w:fldChar w:fldCharType="begin"/>
                              </w:r>
                              <w:r>
                                <w:instrText xml:space="preserve">PAGE   \* MERGEFORMAT</w:instrText>
                              </w:r>
                              <w:r>
                                <w:fldChar w:fldCharType="separate"/>
                              </w:r>
                              <w:r>
                                <w:rPr>
                                  <w:lang w:val="zh-CN"/>
                                </w:rPr>
                                <w:t>3</w:t>
                              </w:r>
                              <w:r>
                                <w:fldChar w:fldCharType="end"/>
                              </w:r>
                            </w:p>
                          </w:sdtContent>
                        </w:sdt>
                        <w:p>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sdt>
                    <w:sdtPr>
                      <w:id w:val="-675882214"/>
                      <w:docPartObj>
                        <w:docPartGallery w:val="autotext"/>
                      </w:docPartObj>
                    </w:sdtPr>
                    <w:sdtContent>
                      <w:p>
                        <w:pPr>
                          <w:pStyle w:val="18"/>
                          <w:jc w:val="center"/>
                        </w:pPr>
                        <w:r>
                          <w:fldChar w:fldCharType="begin"/>
                        </w:r>
                        <w:r>
                          <w:instrText xml:space="preserve">PAGE   \* MERGEFORMAT</w:instrText>
                        </w:r>
                        <w:r>
                          <w:fldChar w:fldCharType="separate"/>
                        </w:r>
                        <w:r>
                          <w:rPr>
                            <w:lang w:val="zh-CN"/>
                          </w:rPr>
                          <w:t>3</w:t>
                        </w:r>
                        <w:r>
                          <w:fldChar w:fldCharType="end"/>
                        </w:r>
                      </w:p>
                    </w:sdtContent>
                  </w:sdt>
                  <w:p>
                    <w:pPr>
                      <w:pStyle w:val="2"/>
                    </w:pPr>
                  </w:p>
                </w:txbxContent>
              </v:textbox>
            </v:shape>
          </w:pict>
        </mc:Fallback>
      </mc:AlternateContent>
    </w:r>
  </w:p>
  <w:p>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p>
  <w:p>
    <w:pPr>
      <w:pStyle w:val="1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4" name="文本框 1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6H0o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nOh9KNAIAAGUEAAAOAAAAAAAAAAEAIAAAAB8BAABkcnMvZTJvRG9jLnhtbFBL&#10;BQYAAAAABgAGAFkBAADF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20</w:t>
                    </w:r>
                    <w:r>
                      <w:fldChar w:fldCharType="end"/>
                    </w:r>
                  </w:p>
                </w:txbxContent>
              </v:textbox>
            </v:shape>
          </w:pict>
        </mc:Fallback>
      </mc:AlternateContent>
    </w:r>
    <w:r>
      <w:rPr>
        <w:rFonts w:hint="eastAsia"/>
      </w:rPr>
      <w:t xml:space="preserve"> </w:t>
    </w:r>
    <w:r>
      <w:t xml:space="preserve"> </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8"/>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8"/>
                    </w:pPr>
                    <w:r>
                      <w:fldChar w:fldCharType="begin"/>
                    </w:r>
                    <w:r>
                      <w:instrText xml:space="preserve"> PAGE  \* MERGEFORMAT </w:instrText>
                    </w:r>
                    <w:r>
                      <w:fldChar w:fldCharType="separate"/>
                    </w:r>
                    <w:r>
                      <w:t>21</w:t>
                    </w:r>
                    <w:r>
                      <w:fldChar w:fldCharType="end"/>
                    </w:r>
                  </w:p>
                </w:txbxContent>
              </v:textbox>
            </v:shape>
          </w:pict>
        </mc:Fallback>
      </mc:AlternateContent>
    </w:r>
    <w:r>
      <w:rPr>
        <w:rFonts w:hint="eastAsia"/>
      </w:rPr>
      <w:t xml:space="preserve"> </w:t>
    </w: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1FCF31"/>
    <w:multiLevelType w:val="singleLevel"/>
    <w:tmpl w:val="5F1FCF31"/>
    <w:lvl w:ilvl="0" w:tentative="0">
      <w:start w:val="1"/>
      <w:numFmt w:val="chineseCounting"/>
      <w:suff w:val="nothing"/>
      <w:lvlText w:val="%1、"/>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IyMDE4Nzg2NDA4NjBmOTNlYzJhOWJhYmExNDI4NTEifQ=="/>
  </w:docVars>
  <w:rsids>
    <w:rsidRoot w:val="00172A27"/>
    <w:rsid w:val="000000F7"/>
    <w:rsid w:val="000003F3"/>
    <w:rsid w:val="000006F1"/>
    <w:rsid w:val="0000081C"/>
    <w:rsid w:val="00000F7B"/>
    <w:rsid w:val="000012C3"/>
    <w:rsid w:val="000014BC"/>
    <w:rsid w:val="000018E5"/>
    <w:rsid w:val="00001F7E"/>
    <w:rsid w:val="00002392"/>
    <w:rsid w:val="00002444"/>
    <w:rsid w:val="000049E4"/>
    <w:rsid w:val="00006709"/>
    <w:rsid w:val="00006B72"/>
    <w:rsid w:val="00006D32"/>
    <w:rsid w:val="00006ECF"/>
    <w:rsid w:val="00007931"/>
    <w:rsid w:val="00007E61"/>
    <w:rsid w:val="00011118"/>
    <w:rsid w:val="00011D97"/>
    <w:rsid w:val="00012ACE"/>
    <w:rsid w:val="00013F23"/>
    <w:rsid w:val="000140E1"/>
    <w:rsid w:val="00014B4D"/>
    <w:rsid w:val="000168E6"/>
    <w:rsid w:val="00017798"/>
    <w:rsid w:val="00017BAD"/>
    <w:rsid w:val="00017CB2"/>
    <w:rsid w:val="000200D3"/>
    <w:rsid w:val="000205D6"/>
    <w:rsid w:val="0002067D"/>
    <w:rsid w:val="00021065"/>
    <w:rsid w:val="00021C2B"/>
    <w:rsid w:val="00022C95"/>
    <w:rsid w:val="00022CE2"/>
    <w:rsid w:val="00024430"/>
    <w:rsid w:val="000255D6"/>
    <w:rsid w:val="000272E2"/>
    <w:rsid w:val="00027497"/>
    <w:rsid w:val="00027AB9"/>
    <w:rsid w:val="00027CC0"/>
    <w:rsid w:val="0003001E"/>
    <w:rsid w:val="000307E3"/>
    <w:rsid w:val="0003187F"/>
    <w:rsid w:val="00031F0F"/>
    <w:rsid w:val="000334CE"/>
    <w:rsid w:val="0003361D"/>
    <w:rsid w:val="00035376"/>
    <w:rsid w:val="00036752"/>
    <w:rsid w:val="00036AD6"/>
    <w:rsid w:val="00037170"/>
    <w:rsid w:val="00040078"/>
    <w:rsid w:val="00040C9E"/>
    <w:rsid w:val="00041509"/>
    <w:rsid w:val="000420C4"/>
    <w:rsid w:val="000426FF"/>
    <w:rsid w:val="00044DD5"/>
    <w:rsid w:val="00045840"/>
    <w:rsid w:val="00046FB7"/>
    <w:rsid w:val="000511BB"/>
    <w:rsid w:val="0005292E"/>
    <w:rsid w:val="00053C44"/>
    <w:rsid w:val="00054848"/>
    <w:rsid w:val="0005745C"/>
    <w:rsid w:val="0005770F"/>
    <w:rsid w:val="00057994"/>
    <w:rsid w:val="000613A0"/>
    <w:rsid w:val="00061542"/>
    <w:rsid w:val="00061B64"/>
    <w:rsid w:val="00063006"/>
    <w:rsid w:val="000646ED"/>
    <w:rsid w:val="00064826"/>
    <w:rsid w:val="00064E4D"/>
    <w:rsid w:val="00065674"/>
    <w:rsid w:val="000657DB"/>
    <w:rsid w:val="000659D2"/>
    <w:rsid w:val="00065A81"/>
    <w:rsid w:val="00065F39"/>
    <w:rsid w:val="000703BE"/>
    <w:rsid w:val="000711E8"/>
    <w:rsid w:val="00072D8F"/>
    <w:rsid w:val="00072F94"/>
    <w:rsid w:val="00073832"/>
    <w:rsid w:val="00074C96"/>
    <w:rsid w:val="000758DB"/>
    <w:rsid w:val="00075951"/>
    <w:rsid w:val="00077186"/>
    <w:rsid w:val="00077636"/>
    <w:rsid w:val="000801D3"/>
    <w:rsid w:val="000805D1"/>
    <w:rsid w:val="000808A5"/>
    <w:rsid w:val="00081DAF"/>
    <w:rsid w:val="0008226C"/>
    <w:rsid w:val="00083587"/>
    <w:rsid w:val="00083A35"/>
    <w:rsid w:val="000847CE"/>
    <w:rsid w:val="00084E4E"/>
    <w:rsid w:val="000855F2"/>
    <w:rsid w:val="000860FA"/>
    <w:rsid w:val="000871CB"/>
    <w:rsid w:val="00087C4B"/>
    <w:rsid w:val="00087DDB"/>
    <w:rsid w:val="0009205D"/>
    <w:rsid w:val="00092A0E"/>
    <w:rsid w:val="00093340"/>
    <w:rsid w:val="00094273"/>
    <w:rsid w:val="00094B7D"/>
    <w:rsid w:val="00095E98"/>
    <w:rsid w:val="00095ED6"/>
    <w:rsid w:val="000964C8"/>
    <w:rsid w:val="00097BF9"/>
    <w:rsid w:val="000A1E6E"/>
    <w:rsid w:val="000A2CC3"/>
    <w:rsid w:val="000A3440"/>
    <w:rsid w:val="000A3598"/>
    <w:rsid w:val="000A3B66"/>
    <w:rsid w:val="000A4C6C"/>
    <w:rsid w:val="000A54E6"/>
    <w:rsid w:val="000A5679"/>
    <w:rsid w:val="000B0304"/>
    <w:rsid w:val="000B0610"/>
    <w:rsid w:val="000B0EC0"/>
    <w:rsid w:val="000B150A"/>
    <w:rsid w:val="000B18CE"/>
    <w:rsid w:val="000B20FD"/>
    <w:rsid w:val="000B261F"/>
    <w:rsid w:val="000B33A1"/>
    <w:rsid w:val="000B3619"/>
    <w:rsid w:val="000B4CD6"/>
    <w:rsid w:val="000B4F3B"/>
    <w:rsid w:val="000B5665"/>
    <w:rsid w:val="000B65AD"/>
    <w:rsid w:val="000B6D12"/>
    <w:rsid w:val="000B73AA"/>
    <w:rsid w:val="000B7C33"/>
    <w:rsid w:val="000C05F4"/>
    <w:rsid w:val="000C1461"/>
    <w:rsid w:val="000C19CF"/>
    <w:rsid w:val="000C2385"/>
    <w:rsid w:val="000C418B"/>
    <w:rsid w:val="000C4E77"/>
    <w:rsid w:val="000C55B1"/>
    <w:rsid w:val="000C5AEE"/>
    <w:rsid w:val="000C5DC7"/>
    <w:rsid w:val="000C7CB7"/>
    <w:rsid w:val="000D0ADB"/>
    <w:rsid w:val="000D1DF1"/>
    <w:rsid w:val="000D3E30"/>
    <w:rsid w:val="000D4304"/>
    <w:rsid w:val="000D4575"/>
    <w:rsid w:val="000D496C"/>
    <w:rsid w:val="000D4BF4"/>
    <w:rsid w:val="000D4D0A"/>
    <w:rsid w:val="000D5B0E"/>
    <w:rsid w:val="000D60F0"/>
    <w:rsid w:val="000D6B6E"/>
    <w:rsid w:val="000E1DBF"/>
    <w:rsid w:val="000E2038"/>
    <w:rsid w:val="000E20CC"/>
    <w:rsid w:val="000E29F9"/>
    <w:rsid w:val="000E2F85"/>
    <w:rsid w:val="000E326A"/>
    <w:rsid w:val="000E3741"/>
    <w:rsid w:val="000E5354"/>
    <w:rsid w:val="000E680B"/>
    <w:rsid w:val="000E6AB7"/>
    <w:rsid w:val="000E6CF6"/>
    <w:rsid w:val="000E7B67"/>
    <w:rsid w:val="000F2541"/>
    <w:rsid w:val="000F2F32"/>
    <w:rsid w:val="000F3C04"/>
    <w:rsid w:val="000F3E87"/>
    <w:rsid w:val="000F41EE"/>
    <w:rsid w:val="000F522A"/>
    <w:rsid w:val="000F684F"/>
    <w:rsid w:val="000F696C"/>
    <w:rsid w:val="000F6CD2"/>
    <w:rsid w:val="000F71C8"/>
    <w:rsid w:val="00101C93"/>
    <w:rsid w:val="001027BE"/>
    <w:rsid w:val="00104033"/>
    <w:rsid w:val="001057A4"/>
    <w:rsid w:val="001064F5"/>
    <w:rsid w:val="00106C38"/>
    <w:rsid w:val="001074BC"/>
    <w:rsid w:val="0010766C"/>
    <w:rsid w:val="00110562"/>
    <w:rsid w:val="00110D4A"/>
    <w:rsid w:val="001117CB"/>
    <w:rsid w:val="00111AB5"/>
    <w:rsid w:val="00111BB7"/>
    <w:rsid w:val="00111C50"/>
    <w:rsid w:val="00111C82"/>
    <w:rsid w:val="00112016"/>
    <w:rsid w:val="00112582"/>
    <w:rsid w:val="0011282B"/>
    <w:rsid w:val="00112D40"/>
    <w:rsid w:val="00112E96"/>
    <w:rsid w:val="00112F85"/>
    <w:rsid w:val="00116563"/>
    <w:rsid w:val="00116D71"/>
    <w:rsid w:val="00116DC4"/>
    <w:rsid w:val="0012089E"/>
    <w:rsid w:val="00121371"/>
    <w:rsid w:val="001213E3"/>
    <w:rsid w:val="0012231A"/>
    <w:rsid w:val="00124948"/>
    <w:rsid w:val="0012494B"/>
    <w:rsid w:val="001303DB"/>
    <w:rsid w:val="001304CD"/>
    <w:rsid w:val="001306ED"/>
    <w:rsid w:val="0013191A"/>
    <w:rsid w:val="00132A6F"/>
    <w:rsid w:val="00133FB4"/>
    <w:rsid w:val="00134E85"/>
    <w:rsid w:val="001350E6"/>
    <w:rsid w:val="001351DA"/>
    <w:rsid w:val="00135535"/>
    <w:rsid w:val="00135C2C"/>
    <w:rsid w:val="001362C2"/>
    <w:rsid w:val="0013683F"/>
    <w:rsid w:val="0014074D"/>
    <w:rsid w:val="00140924"/>
    <w:rsid w:val="00141802"/>
    <w:rsid w:val="00142307"/>
    <w:rsid w:val="00144484"/>
    <w:rsid w:val="001466A1"/>
    <w:rsid w:val="001468D8"/>
    <w:rsid w:val="00147411"/>
    <w:rsid w:val="0014748F"/>
    <w:rsid w:val="001479A0"/>
    <w:rsid w:val="00147E00"/>
    <w:rsid w:val="00150946"/>
    <w:rsid w:val="00150FAE"/>
    <w:rsid w:val="00151565"/>
    <w:rsid w:val="001525FB"/>
    <w:rsid w:val="00152A1F"/>
    <w:rsid w:val="00152E84"/>
    <w:rsid w:val="0015382F"/>
    <w:rsid w:val="00153C16"/>
    <w:rsid w:val="00153E0A"/>
    <w:rsid w:val="0015417C"/>
    <w:rsid w:val="001548E0"/>
    <w:rsid w:val="00155869"/>
    <w:rsid w:val="0015682A"/>
    <w:rsid w:val="001569B0"/>
    <w:rsid w:val="00156C7D"/>
    <w:rsid w:val="00156CCB"/>
    <w:rsid w:val="00157063"/>
    <w:rsid w:val="00160362"/>
    <w:rsid w:val="00160AF2"/>
    <w:rsid w:val="00161331"/>
    <w:rsid w:val="00161AD7"/>
    <w:rsid w:val="00161D0B"/>
    <w:rsid w:val="00162AD6"/>
    <w:rsid w:val="0016375B"/>
    <w:rsid w:val="00163A20"/>
    <w:rsid w:val="00164144"/>
    <w:rsid w:val="00164D7D"/>
    <w:rsid w:val="001714F2"/>
    <w:rsid w:val="0017210A"/>
    <w:rsid w:val="001740B1"/>
    <w:rsid w:val="00175C6C"/>
    <w:rsid w:val="0017610E"/>
    <w:rsid w:val="00177792"/>
    <w:rsid w:val="00180007"/>
    <w:rsid w:val="00181656"/>
    <w:rsid w:val="0018212E"/>
    <w:rsid w:val="00185852"/>
    <w:rsid w:val="00186977"/>
    <w:rsid w:val="001869DB"/>
    <w:rsid w:val="00187AEA"/>
    <w:rsid w:val="00190A35"/>
    <w:rsid w:val="00191B3A"/>
    <w:rsid w:val="00191C88"/>
    <w:rsid w:val="001920C8"/>
    <w:rsid w:val="001935F5"/>
    <w:rsid w:val="00194041"/>
    <w:rsid w:val="0019432F"/>
    <w:rsid w:val="00195882"/>
    <w:rsid w:val="001961B7"/>
    <w:rsid w:val="00196F7C"/>
    <w:rsid w:val="001975A5"/>
    <w:rsid w:val="00197DCC"/>
    <w:rsid w:val="001A0F31"/>
    <w:rsid w:val="001A1119"/>
    <w:rsid w:val="001A1202"/>
    <w:rsid w:val="001A173B"/>
    <w:rsid w:val="001A178D"/>
    <w:rsid w:val="001A1891"/>
    <w:rsid w:val="001A1912"/>
    <w:rsid w:val="001A1DEA"/>
    <w:rsid w:val="001A3205"/>
    <w:rsid w:val="001A32CE"/>
    <w:rsid w:val="001A354C"/>
    <w:rsid w:val="001A475D"/>
    <w:rsid w:val="001A5428"/>
    <w:rsid w:val="001A5814"/>
    <w:rsid w:val="001A5976"/>
    <w:rsid w:val="001A5BEA"/>
    <w:rsid w:val="001A6179"/>
    <w:rsid w:val="001A70EB"/>
    <w:rsid w:val="001A78F3"/>
    <w:rsid w:val="001B0AF3"/>
    <w:rsid w:val="001B14A4"/>
    <w:rsid w:val="001B21CE"/>
    <w:rsid w:val="001B2F28"/>
    <w:rsid w:val="001B3771"/>
    <w:rsid w:val="001B394F"/>
    <w:rsid w:val="001B58E6"/>
    <w:rsid w:val="001B6664"/>
    <w:rsid w:val="001B7DE0"/>
    <w:rsid w:val="001B7E64"/>
    <w:rsid w:val="001C0D61"/>
    <w:rsid w:val="001C1B8D"/>
    <w:rsid w:val="001C2082"/>
    <w:rsid w:val="001C32D0"/>
    <w:rsid w:val="001C36DF"/>
    <w:rsid w:val="001C3729"/>
    <w:rsid w:val="001C47AC"/>
    <w:rsid w:val="001C49A6"/>
    <w:rsid w:val="001C54AF"/>
    <w:rsid w:val="001C59C4"/>
    <w:rsid w:val="001D057F"/>
    <w:rsid w:val="001D0D89"/>
    <w:rsid w:val="001D0EC9"/>
    <w:rsid w:val="001D1808"/>
    <w:rsid w:val="001D1EBF"/>
    <w:rsid w:val="001D334D"/>
    <w:rsid w:val="001D3D2F"/>
    <w:rsid w:val="001D3D39"/>
    <w:rsid w:val="001D50FE"/>
    <w:rsid w:val="001D54B6"/>
    <w:rsid w:val="001D6BE8"/>
    <w:rsid w:val="001E0555"/>
    <w:rsid w:val="001E0863"/>
    <w:rsid w:val="001E0DEC"/>
    <w:rsid w:val="001E20C3"/>
    <w:rsid w:val="001E3372"/>
    <w:rsid w:val="001E3C6C"/>
    <w:rsid w:val="001E44D5"/>
    <w:rsid w:val="001E4B36"/>
    <w:rsid w:val="001E61B6"/>
    <w:rsid w:val="001E6C49"/>
    <w:rsid w:val="001F0FD9"/>
    <w:rsid w:val="001F114A"/>
    <w:rsid w:val="001F130F"/>
    <w:rsid w:val="001F221E"/>
    <w:rsid w:val="001F2BC9"/>
    <w:rsid w:val="001F3650"/>
    <w:rsid w:val="001F46D7"/>
    <w:rsid w:val="001F5B31"/>
    <w:rsid w:val="00200007"/>
    <w:rsid w:val="002011EB"/>
    <w:rsid w:val="00202605"/>
    <w:rsid w:val="00202AAD"/>
    <w:rsid w:val="00202F8A"/>
    <w:rsid w:val="00203100"/>
    <w:rsid w:val="00203408"/>
    <w:rsid w:val="00203427"/>
    <w:rsid w:val="0020529E"/>
    <w:rsid w:val="002052D9"/>
    <w:rsid w:val="002056C0"/>
    <w:rsid w:val="002063D3"/>
    <w:rsid w:val="00206915"/>
    <w:rsid w:val="0021076E"/>
    <w:rsid w:val="00210FC5"/>
    <w:rsid w:val="00211A49"/>
    <w:rsid w:val="002120F7"/>
    <w:rsid w:val="00212467"/>
    <w:rsid w:val="002128FC"/>
    <w:rsid w:val="00212D0C"/>
    <w:rsid w:val="00212EC4"/>
    <w:rsid w:val="00213DF5"/>
    <w:rsid w:val="0021509F"/>
    <w:rsid w:val="00216D13"/>
    <w:rsid w:val="00217192"/>
    <w:rsid w:val="002172D6"/>
    <w:rsid w:val="0021798F"/>
    <w:rsid w:val="0022181C"/>
    <w:rsid w:val="002228C0"/>
    <w:rsid w:val="0022394C"/>
    <w:rsid w:val="00225C3E"/>
    <w:rsid w:val="00226A69"/>
    <w:rsid w:val="002270B9"/>
    <w:rsid w:val="0022710E"/>
    <w:rsid w:val="00227443"/>
    <w:rsid w:val="00227A6A"/>
    <w:rsid w:val="00227A98"/>
    <w:rsid w:val="00227C33"/>
    <w:rsid w:val="002329B6"/>
    <w:rsid w:val="00232C93"/>
    <w:rsid w:val="00233A40"/>
    <w:rsid w:val="00233AE0"/>
    <w:rsid w:val="00234D98"/>
    <w:rsid w:val="00234EAF"/>
    <w:rsid w:val="0023564D"/>
    <w:rsid w:val="00235D45"/>
    <w:rsid w:val="00235F6D"/>
    <w:rsid w:val="0023666A"/>
    <w:rsid w:val="00236C90"/>
    <w:rsid w:val="00240B7B"/>
    <w:rsid w:val="00240BBD"/>
    <w:rsid w:val="00240DF0"/>
    <w:rsid w:val="00241361"/>
    <w:rsid w:val="00241DCB"/>
    <w:rsid w:val="002432E0"/>
    <w:rsid w:val="00245D7E"/>
    <w:rsid w:val="00250387"/>
    <w:rsid w:val="00250976"/>
    <w:rsid w:val="00250DC3"/>
    <w:rsid w:val="00251230"/>
    <w:rsid w:val="00251787"/>
    <w:rsid w:val="002519CA"/>
    <w:rsid w:val="00251E5A"/>
    <w:rsid w:val="00251EE7"/>
    <w:rsid w:val="00253206"/>
    <w:rsid w:val="0025334E"/>
    <w:rsid w:val="002538E7"/>
    <w:rsid w:val="00253AFE"/>
    <w:rsid w:val="002540AD"/>
    <w:rsid w:val="00254A1D"/>
    <w:rsid w:val="00255B65"/>
    <w:rsid w:val="00256366"/>
    <w:rsid w:val="00256662"/>
    <w:rsid w:val="002579D4"/>
    <w:rsid w:val="00257BD8"/>
    <w:rsid w:val="00260493"/>
    <w:rsid w:val="00260897"/>
    <w:rsid w:val="00261271"/>
    <w:rsid w:val="00261A26"/>
    <w:rsid w:val="00262246"/>
    <w:rsid w:val="00262AC2"/>
    <w:rsid w:val="00262D73"/>
    <w:rsid w:val="00263945"/>
    <w:rsid w:val="00263FC8"/>
    <w:rsid w:val="00264813"/>
    <w:rsid w:val="002648C9"/>
    <w:rsid w:val="00264BA3"/>
    <w:rsid w:val="00265C73"/>
    <w:rsid w:val="002660F7"/>
    <w:rsid w:val="002675BA"/>
    <w:rsid w:val="002700F7"/>
    <w:rsid w:val="002704CF"/>
    <w:rsid w:val="00270950"/>
    <w:rsid w:val="002722FF"/>
    <w:rsid w:val="002724F1"/>
    <w:rsid w:val="00272B6E"/>
    <w:rsid w:val="00274198"/>
    <w:rsid w:val="00274E18"/>
    <w:rsid w:val="00275111"/>
    <w:rsid w:val="00275224"/>
    <w:rsid w:val="00276DF6"/>
    <w:rsid w:val="00276F7F"/>
    <w:rsid w:val="002771CF"/>
    <w:rsid w:val="00277844"/>
    <w:rsid w:val="00277DFC"/>
    <w:rsid w:val="002809BE"/>
    <w:rsid w:val="00280B31"/>
    <w:rsid w:val="00281A2D"/>
    <w:rsid w:val="00282C96"/>
    <w:rsid w:val="00283BF6"/>
    <w:rsid w:val="00283FF8"/>
    <w:rsid w:val="00285265"/>
    <w:rsid w:val="00286EE0"/>
    <w:rsid w:val="00287146"/>
    <w:rsid w:val="002875B1"/>
    <w:rsid w:val="00287E7E"/>
    <w:rsid w:val="0029020A"/>
    <w:rsid w:val="00294AEF"/>
    <w:rsid w:val="002954CD"/>
    <w:rsid w:val="002972D5"/>
    <w:rsid w:val="00297CBA"/>
    <w:rsid w:val="002A08DE"/>
    <w:rsid w:val="002A0DC4"/>
    <w:rsid w:val="002A263B"/>
    <w:rsid w:val="002A2ACA"/>
    <w:rsid w:val="002A2F77"/>
    <w:rsid w:val="002A3E53"/>
    <w:rsid w:val="002A446E"/>
    <w:rsid w:val="002A4C9B"/>
    <w:rsid w:val="002A5177"/>
    <w:rsid w:val="002A52FC"/>
    <w:rsid w:val="002A7566"/>
    <w:rsid w:val="002A7D44"/>
    <w:rsid w:val="002A7D5D"/>
    <w:rsid w:val="002B173C"/>
    <w:rsid w:val="002B1961"/>
    <w:rsid w:val="002B56A2"/>
    <w:rsid w:val="002B5F15"/>
    <w:rsid w:val="002B6F4A"/>
    <w:rsid w:val="002B7247"/>
    <w:rsid w:val="002C0000"/>
    <w:rsid w:val="002C09CB"/>
    <w:rsid w:val="002C0CEB"/>
    <w:rsid w:val="002C1458"/>
    <w:rsid w:val="002C153B"/>
    <w:rsid w:val="002C16BF"/>
    <w:rsid w:val="002C551A"/>
    <w:rsid w:val="002C5BC9"/>
    <w:rsid w:val="002C624F"/>
    <w:rsid w:val="002C6610"/>
    <w:rsid w:val="002C68EA"/>
    <w:rsid w:val="002C76DE"/>
    <w:rsid w:val="002C7724"/>
    <w:rsid w:val="002C7C42"/>
    <w:rsid w:val="002D107C"/>
    <w:rsid w:val="002D10CB"/>
    <w:rsid w:val="002D2DEE"/>
    <w:rsid w:val="002D382B"/>
    <w:rsid w:val="002D3FF2"/>
    <w:rsid w:val="002D481F"/>
    <w:rsid w:val="002D5FDD"/>
    <w:rsid w:val="002D6057"/>
    <w:rsid w:val="002D62A5"/>
    <w:rsid w:val="002D6C43"/>
    <w:rsid w:val="002D778F"/>
    <w:rsid w:val="002D7AF9"/>
    <w:rsid w:val="002E013A"/>
    <w:rsid w:val="002E0EF5"/>
    <w:rsid w:val="002E1F81"/>
    <w:rsid w:val="002E21E1"/>
    <w:rsid w:val="002E2517"/>
    <w:rsid w:val="002E301C"/>
    <w:rsid w:val="002E308D"/>
    <w:rsid w:val="002E4EFE"/>
    <w:rsid w:val="002E5929"/>
    <w:rsid w:val="002E6183"/>
    <w:rsid w:val="002E646C"/>
    <w:rsid w:val="002F0107"/>
    <w:rsid w:val="002F2949"/>
    <w:rsid w:val="002F3AFC"/>
    <w:rsid w:val="002F3F71"/>
    <w:rsid w:val="002F450B"/>
    <w:rsid w:val="002F4606"/>
    <w:rsid w:val="002F4C85"/>
    <w:rsid w:val="002F4E23"/>
    <w:rsid w:val="002F5504"/>
    <w:rsid w:val="002F59DC"/>
    <w:rsid w:val="002F5FF5"/>
    <w:rsid w:val="002F7654"/>
    <w:rsid w:val="002F779A"/>
    <w:rsid w:val="002F7A28"/>
    <w:rsid w:val="002F7AF4"/>
    <w:rsid w:val="00300504"/>
    <w:rsid w:val="00300B86"/>
    <w:rsid w:val="003027BA"/>
    <w:rsid w:val="00303210"/>
    <w:rsid w:val="0030504A"/>
    <w:rsid w:val="0031021A"/>
    <w:rsid w:val="00312445"/>
    <w:rsid w:val="0031288D"/>
    <w:rsid w:val="00313543"/>
    <w:rsid w:val="00314640"/>
    <w:rsid w:val="00314E89"/>
    <w:rsid w:val="00314FB4"/>
    <w:rsid w:val="00317832"/>
    <w:rsid w:val="0031797F"/>
    <w:rsid w:val="00317D59"/>
    <w:rsid w:val="003201B1"/>
    <w:rsid w:val="00320223"/>
    <w:rsid w:val="00320569"/>
    <w:rsid w:val="003205A1"/>
    <w:rsid w:val="003207C5"/>
    <w:rsid w:val="00321B53"/>
    <w:rsid w:val="0032221B"/>
    <w:rsid w:val="00322540"/>
    <w:rsid w:val="003237A1"/>
    <w:rsid w:val="003253CA"/>
    <w:rsid w:val="00325548"/>
    <w:rsid w:val="003257B1"/>
    <w:rsid w:val="00325C58"/>
    <w:rsid w:val="00326D08"/>
    <w:rsid w:val="003271C3"/>
    <w:rsid w:val="003272D9"/>
    <w:rsid w:val="00327818"/>
    <w:rsid w:val="00327FD7"/>
    <w:rsid w:val="00330A8B"/>
    <w:rsid w:val="003319FC"/>
    <w:rsid w:val="0033307F"/>
    <w:rsid w:val="00333A38"/>
    <w:rsid w:val="0033425B"/>
    <w:rsid w:val="00335E36"/>
    <w:rsid w:val="00336295"/>
    <w:rsid w:val="00336B3F"/>
    <w:rsid w:val="00336CB9"/>
    <w:rsid w:val="003379AB"/>
    <w:rsid w:val="0034025D"/>
    <w:rsid w:val="003409B4"/>
    <w:rsid w:val="0034273F"/>
    <w:rsid w:val="0034281A"/>
    <w:rsid w:val="003436F7"/>
    <w:rsid w:val="003458F4"/>
    <w:rsid w:val="00345EDC"/>
    <w:rsid w:val="0034739E"/>
    <w:rsid w:val="00347474"/>
    <w:rsid w:val="00350DD1"/>
    <w:rsid w:val="003510A4"/>
    <w:rsid w:val="00352C62"/>
    <w:rsid w:val="0035353F"/>
    <w:rsid w:val="00353CED"/>
    <w:rsid w:val="00354257"/>
    <w:rsid w:val="00354A64"/>
    <w:rsid w:val="00354AA0"/>
    <w:rsid w:val="003555F6"/>
    <w:rsid w:val="0035590C"/>
    <w:rsid w:val="003560D9"/>
    <w:rsid w:val="0035706B"/>
    <w:rsid w:val="00357EFA"/>
    <w:rsid w:val="0036077C"/>
    <w:rsid w:val="00360947"/>
    <w:rsid w:val="00360DBE"/>
    <w:rsid w:val="003617DD"/>
    <w:rsid w:val="00363320"/>
    <w:rsid w:val="0036347A"/>
    <w:rsid w:val="003639A0"/>
    <w:rsid w:val="00364BCB"/>
    <w:rsid w:val="00364F65"/>
    <w:rsid w:val="0037022F"/>
    <w:rsid w:val="003708F5"/>
    <w:rsid w:val="00371A0A"/>
    <w:rsid w:val="00372C00"/>
    <w:rsid w:val="00373609"/>
    <w:rsid w:val="00374DF6"/>
    <w:rsid w:val="00375B8F"/>
    <w:rsid w:val="003762AE"/>
    <w:rsid w:val="0037638F"/>
    <w:rsid w:val="00376E39"/>
    <w:rsid w:val="0037729E"/>
    <w:rsid w:val="00377744"/>
    <w:rsid w:val="00380987"/>
    <w:rsid w:val="00380A42"/>
    <w:rsid w:val="00382C14"/>
    <w:rsid w:val="00382CC2"/>
    <w:rsid w:val="00382FB2"/>
    <w:rsid w:val="00383203"/>
    <w:rsid w:val="00383474"/>
    <w:rsid w:val="00384C61"/>
    <w:rsid w:val="00386300"/>
    <w:rsid w:val="0038753F"/>
    <w:rsid w:val="0039044C"/>
    <w:rsid w:val="00390E96"/>
    <w:rsid w:val="00391002"/>
    <w:rsid w:val="003915AF"/>
    <w:rsid w:val="00392E35"/>
    <w:rsid w:val="00394470"/>
    <w:rsid w:val="00394FB7"/>
    <w:rsid w:val="00395BC0"/>
    <w:rsid w:val="0039620B"/>
    <w:rsid w:val="00397823"/>
    <w:rsid w:val="003A0BAE"/>
    <w:rsid w:val="003A1D9C"/>
    <w:rsid w:val="003A330C"/>
    <w:rsid w:val="003A41A4"/>
    <w:rsid w:val="003A5636"/>
    <w:rsid w:val="003A5812"/>
    <w:rsid w:val="003A6A8F"/>
    <w:rsid w:val="003B068A"/>
    <w:rsid w:val="003B2D33"/>
    <w:rsid w:val="003B33B8"/>
    <w:rsid w:val="003B3492"/>
    <w:rsid w:val="003B3927"/>
    <w:rsid w:val="003B42EF"/>
    <w:rsid w:val="003B4AAA"/>
    <w:rsid w:val="003B5908"/>
    <w:rsid w:val="003B627F"/>
    <w:rsid w:val="003B66DD"/>
    <w:rsid w:val="003C0379"/>
    <w:rsid w:val="003C0417"/>
    <w:rsid w:val="003C055B"/>
    <w:rsid w:val="003C1227"/>
    <w:rsid w:val="003C15E7"/>
    <w:rsid w:val="003C576F"/>
    <w:rsid w:val="003C5A5F"/>
    <w:rsid w:val="003C63A7"/>
    <w:rsid w:val="003C69CF"/>
    <w:rsid w:val="003C6A16"/>
    <w:rsid w:val="003C6F64"/>
    <w:rsid w:val="003C739F"/>
    <w:rsid w:val="003D0B19"/>
    <w:rsid w:val="003D0EE3"/>
    <w:rsid w:val="003D1EBB"/>
    <w:rsid w:val="003D309F"/>
    <w:rsid w:val="003D3FE4"/>
    <w:rsid w:val="003D413D"/>
    <w:rsid w:val="003D43AB"/>
    <w:rsid w:val="003D4662"/>
    <w:rsid w:val="003D4C72"/>
    <w:rsid w:val="003D5592"/>
    <w:rsid w:val="003D6753"/>
    <w:rsid w:val="003D7C49"/>
    <w:rsid w:val="003E2C19"/>
    <w:rsid w:val="003E2EE3"/>
    <w:rsid w:val="003E3B56"/>
    <w:rsid w:val="003E5A45"/>
    <w:rsid w:val="003E5A91"/>
    <w:rsid w:val="003E6907"/>
    <w:rsid w:val="003E6BD5"/>
    <w:rsid w:val="003E7341"/>
    <w:rsid w:val="003E7BD2"/>
    <w:rsid w:val="003F288B"/>
    <w:rsid w:val="003F35F5"/>
    <w:rsid w:val="003F6770"/>
    <w:rsid w:val="003F761E"/>
    <w:rsid w:val="003F761F"/>
    <w:rsid w:val="0040027D"/>
    <w:rsid w:val="004009C0"/>
    <w:rsid w:val="004009C7"/>
    <w:rsid w:val="004014C2"/>
    <w:rsid w:val="00401E62"/>
    <w:rsid w:val="00402042"/>
    <w:rsid w:val="00402237"/>
    <w:rsid w:val="00402948"/>
    <w:rsid w:val="00402C82"/>
    <w:rsid w:val="00402CBA"/>
    <w:rsid w:val="00402FDC"/>
    <w:rsid w:val="00403656"/>
    <w:rsid w:val="00404F5A"/>
    <w:rsid w:val="00405844"/>
    <w:rsid w:val="00405D19"/>
    <w:rsid w:val="004064E8"/>
    <w:rsid w:val="00406A72"/>
    <w:rsid w:val="00406C22"/>
    <w:rsid w:val="00407342"/>
    <w:rsid w:val="00407529"/>
    <w:rsid w:val="0041033C"/>
    <w:rsid w:val="004111AE"/>
    <w:rsid w:val="004115F7"/>
    <w:rsid w:val="00411F05"/>
    <w:rsid w:val="00412A72"/>
    <w:rsid w:val="00412B34"/>
    <w:rsid w:val="0041323C"/>
    <w:rsid w:val="004141D4"/>
    <w:rsid w:val="004142BE"/>
    <w:rsid w:val="00416B38"/>
    <w:rsid w:val="00416B60"/>
    <w:rsid w:val="00417233"/>
    <w:rsid w:val="00420330"/>
    <w:rsid w:val="004217BF"/>
    <w:rsid w:val="0042214A"/>
    <w:rsid w:val="004221BB"/>
    <w:rsid w:val="004230EA"/>
    <w:rsid w:val="0042386D"/>
    <w:rsid w:val="00423F70"/>
    <w:rsid w:val="00423F8A"/>
    <w:rsid w:val="0042540C"/>
    <w:rsid w:val="00426127"/>
    <w:rsid w:val="00426A7E"/>
    <w:rsid w:val="00427A2E"/>
    <w:rsid w:val="00427EA8"/>
    <w:rsid w:val="00427EB9"/>
    <w:rsid w:val="00431DE8"/>
    <w:rsid w:val="00432295"/>
    <w:rsid w:val="0043281A"/>
    <w:rsid w:val="00432915"/>
    <w:rsid w:val="0043341D"/>
    <w:rsid w:val="00433539"/>
    <w:rsid w:val="004335EB"/>
    <w:rsid w:val="00433E5E"/>
    <w:rsid w:val="00434396"/>
    <w:rsid w:val="00435685"/>
    <w:rsid w:val="004363EB"/>
    <w:rsid w:val="00437827"/>
    <w:rsid w:val="00440DC0"/>
    <w:rsid w:val="00441BC5"/>
    <w:rsid w:val="00442397"/>
    <w:rsid w:val="0044315B"/>
    <w:rsid w:val="004444BA"/>
    <w:rsid w:val="00445266"/>
    <w:rsid w:val="00445C0C"/>
    <w:rsid w:val="00447247"/>
    <w:rsid w:val="0045145C"/>
    <w:rsid w:val="00451CDB"/>
    <w:rsid w:val="00451EE8"/>
    <w:rsid w:val="00452D3F"/>
    <w:rsid w:val="00453425"/>
    <w:rsid w:val="004538D1"/>
    <w:rsid w:val="0045401E"/>
    <w:rsid w:val="004544A5"/>
    <w:rsid w:val="00454617"/>
    <w:rsid w:val="00454DF7"/>
    <w:rsid w:val="00454E94"/>
    <w:rsid w:val="00457509"/>
    <w:rsid w:val="00462854"/>
    <w:rsid w:val="004628CE"/>
    <w:rsid w:val="0046584D"/>
    <w:rsid w:val="004662B4"/>
    <w:rsid w:val="00466993"/>
    <w:rsid w:val="00467266"/>
    <w:rsid w:val="00467D17"/>
    <w:rsid w:val="0047084F"/>
    <w:rsid w:val="00470A73"/>
    <w:rsid w:val="00470F52"/>
    <w:rsid w:val="004719C1"/>
    <w:rsid w:val="0047314A"/>
    <w:rsid w:val="0047480F"/>
    <w:rsid w:val="00476A39"/>
    <w:rsid w:val="00476C27"/>
    <w:rsid w:val="0048010C"/>
    <w:rsid w:val="004804CC"/>
    <w:rsid w:val="00480655"/>
    <w:rsid w:val="004808B1"/>
    <w:rsid w:val="00480C51"/>
    <w:rsid w:val="00480E8B"/>
    <w:rsid w:val="00482C18"/>
    <w:rsid w:val="004832F0"/>
    <w:rsid w:val="00484165"/>
    <w:rsid w:val="004841E1"/>
    <w:rsid w:val="00485CA1"/>
    <w:rsid w:val="00485DEB"/>
    <w:rsid w:val="0048685F"/>
    <w:rsid w:val="00486FAB"/>
    <w:rsid w:val="00487C50"/>
    <w:rsid w:val="00490D84"/>
    <w:rsid w:val="00492B96"/>
    <w:rsid w:val="00493A01"/>
    <w:rsid w:val="00493C05"/>
    <w:rsid w:val="00494E3D"/>
    <w:rsid w:val="00495AA1"/>
    <w:rsid w:val="0049627E"/>
    <w:rsid w:val="00496B86"/>
    <w:rsid w:val="00497D07"/>
    <w:rsid w:val="004A027A"/>
    <w:rsid w:val="004A090F"/>
    <w:rsid w:val="004A0C91"/>
    <w:rsid w:val="004A2258"/>
    <w:rsid w:val="004A28FB"/>
    <w:rsid w:val="004A3A29"/>
    <w:rsid w:val="004A4FA1"/>
    <w:rsid w:val="004A5DF8"/>
    <w:rsid w:val="004A69AB"/>
    <w:rsid w:val="004B0010"/>
    <w:rsid w:val="004B0132"/>
    <w:rsid w:val="004B1A1F"/>
    <w:rsid w:val="004B292B"/>
    <w:rsid w:val="004B2EEB"/>
    <w:rsid w:val="004B365E"/>
    <w:rsid w:val="004B3ECC"/>
    <w:rsid w:val="004B4B2D"/>
    <w:rsid w:val="004B5B20"/>
    <w:rsid w:val="004B5E1B"/>
    <w:rsid w:val="004B6507"/>
    <w:rsid w:val="004B698F"/>
    <w:rsid w:val="004B6CA2"/>
    <w:rsid w:val="004B749C"/>
    <w:rsid w:val="004B75E4"/>
    <w:rsid w:val="004C13AB"/>
    <w:rsid w:val="004C1D86"/>
    <w:rsid w:val="004C2678"/>
    <w:rsid w:val="004C2D31"/>
    <w:rsid w:val="004C2EDF"/>
    <w:rsid w:val="004C32D1"/>
    <w:rsid w:val="004C39CF"/>
    <w:rsid w:val="004C4F4A"/>
    <w:rsid w:val="004C56C3"/>
    <w:rsid w:val="004C73C3"/>
    <w:rsid w:val="004C7E8F"/>
    <w:rsid w:val="004D08C4"/>
    <w:rsid w:val="004D0AC8"/>
    <w:rsid w:val="004D301A"/>
    <w:rsid w:val="004D5625"/>
    <w:rsid w:val="004D5AFF"/>
    <w:rsid w:val="004D7515"/>
    <w:rsid w:val="004D7892"/>
    <w:rsid w:val="004E147B"/>
    <w:rsid w:val="004E1E8A"/>
    <w:rsid w:val="004E3454"/>
    <w:rsid w:val="004E347D"/>
    <w:rsid w:val="004E3687"/>
    <w:rsid w:val="004E439A"/>
    <w:rsid w:val="004E53A0"/>
    <w:rsid w:val="004E64E1"/>
    <w:rsid w:val="004E7FE3"/>
    <w:rsid w:val="004F06D8"/>
    <w:rsid w:val="004F0703"/>
    <w:rsid w:val="004F0849"/>
    <w:rsid w:val="004F28B6"/>
    <w:rsid w:val="004F2C67"/>
    <w:rsid w:val="004F2D00"/>
    <w:rsid w:val="004F44DF"/>
    <w:rsid w:val="004F62ED"/>
    <w:rsid w:val="004F70AA"/>
    <w:rsid w:val="004F7142"/>
    <w:rsid w:val="004F774F"/>
    <w:rsid w:val="004F7BAA"/>
    <w:rsid w:val="00500875"/>
    <w:rsid w:val="00502153"/>
    <w:rsid w:val="005026A0"/>
    <w:rsid w:val="005036D7"/>
    <w:rsid w:val="00503A14"/>
    <w:rsid w:val="00503D10"/>
    <w:rsid w:val="00503DFF"/>
    <w:rsid w:val="00504B60"/>
    <w:rsid w:val="00504C9B"/>
    <w:rsid w:val="00505509"/>
    <w:rsid w:val="00506868"/>
    <w:rsid w:val="00507A11"/>
    <w:rsid w:val="00507A40"/>
    <w:rsid w:val="005112DF"/>
    <w:rsid w:val="00511914"/>
    <w:rsid w:val="00512B5D"/>
    <w:rsid w:val="005131B4"/>
    <w:rsid w:val="005134CB"/>
    <w:rsid w:val="00513DDF"/>
    <w:rsid w:val="005144B3"/>
    <w:rsid w:val="00515434"/>
    <w:rsid w:val="00515587"/>
    <w:rsid w:val="00517B7C"/>
    <w:rsid w:val="00517DE1"/>
    <w:rsid w:val="00520190"/>
    <w:rsid w:val="00520592"/>
    <w:rsid w:val="00520B20"/>
    <w:rsid w:val="00520F74"/>
    <w:rsid w:val="0052127C"/>
    <w:rsid w:val="00521EEC"/>
    <w:rsid w:val="00522641"/>
    <w:rsid w:val="005226CC"/>
    <w:rsid w:val="00522DFA"/>
    <w:rsid w:val="00523328"/>
    <w:rsid w:val="00523678"/>
    <w:rsid w:val="00525340"/>
    <w:rsid w:val="00525622"/>
    <w:rsid w:val="005260AC"/>
    <w:rsid w:val="00526C4F"/>
    <w:rsid w:val="005270F2"/>
    <w:rsid w:val="005306B0"/>
    <w:rsid w:val="00532076"/>
    <w:rsid w:val="0053299E"/>
    <w:rsid w:val="00532F40"/>
    <w:rsid w:val="00533E08"/>
    <w:rsid w:val="00534642"/>
    <w:rsid w:val="00535235"/>
    <w:rsid w:val="005360E7"/>
    <w:rsid w:val="0053676D"/>
    <w:rsid w:val="005404B7"/>
    <w:rsid w:val="005406D7"/>
    <w:rsid w:val="00542639"/>
    <w:rsid w:val="0054268A"/>
    <w:rsid w:val="00542B63"/>
    <w:rsid w:val="00543E21"/>
    <w:rsid w:val="00544831"/>
    <w:rsid w:val="00545F11"/>
    <w:rsid w:val="00546753"/>
    <w:rsid w:val="005474E0"/>
    <w:rsid w:val="00547706"/>
    <w:rsid w:val="00547C70"/>
    <w:rsid w:val="00551FDB"/>
    <w:rsid w:val="0055217A"/>
    <w:rsid w:val="0055330F"/>
    <w:rsid w:val="00553EA6"/>
    <w:rsid w:val="00554D6A"/>
    <w:rsid w:val="00555142"/>
    <w:rsid w:val="0055551D"/>
    <w:rsid w:val="00556866"/>
    <w:rsid w:val="00560581"/>
    <w:rsid w:val="0056086E"/>
    <w:rsid w:val="00561F56"/>
    <w:rsid w:val="00562E81"/>
    <w:rsid w:val="0056339C"/>
    <w:rsid w:val="00563436"/>
    <w:rsid w:val="00563D5F"/>
    <w:rsid w:val="00564ED3"/>
    <w:rsid w:val="0056667A"/>
    <w:rsid w:val="00567774"/>
    <w:rsid w:val="00567A76"/>
    <w:rsid w:val="00567E19"/>
    <w:rsid w:val="00570946"/>
    <w:rsid w:val="0057096B"/>
    <w:rsid w:val="005715CE"/>
    <w:rsid w:val="00573282"/>
    <w:rsid w:val="0057351E"/>
    <w:rsid w:val="00573EEE"/>
    <w:rsid w:val="00575679"/>
    <w:rsid w:val="00575B8E"/>
    <w:rsid w:val="00576BE2"/>
    <w:rsid w:val="00576CA9"/>
    <w:rsid w:val="005772F7"/>
    <w:rsid w:val="00577B10"/>
    <w:rsid w:val="00581AC0"/>
    <w:rsid w:val="005825FF"/>
    <w:rsid w:val="00583E8B"/>
    <w:rsid w:val="00584284"/>
    <w:rsid w:val="00584322"/>
    <w:rsid w:val="0058580F"/>
    <w:rsid w:val="0058669B"/>
    <w:rsid w:val="0058706D"/>
    <w:rsid w:val="00590658"/>
    <w:rsid w:val="005914DF"/>
    <w:rsid w:val="0059155C"/>
    <w:rsid w:val="00592E09"/>
    <w:rsid w:val="00593EAA"/>
    <w:rsid w:val="00594638"/>
    <w:rsid w:val="005948CA"/>
    <w:rsid w:val="00594CF3"/>
    <w:rsid w:val="005950C2"/>
    <w:rsid w:val="005958E7"/>
    <w:rsid w:val="00595F56"/>
    <w:rsid w:val="005960D0"/>
    <w:rsid w:val="005962C9"/>
    <w:rsid w:val="00597CD8"/>
    <w:rsid w:val="005A0867"/>
    <w:rsid w:val="005A17F1"/>
    <w:rsid w:val="005A27CB"/>
    <w:rsid w:val="005A2DE4"/>
    <w:rsid w:val="005A4A67"/>
    <w:rsid w:val="005A4D50"/>
    <w:rsid w:val="005A52C9"/>
    <w:rsid w:val="005A54B1"/>
    <w:rsid w:val="005A5FA9"/>
    <w:rsid w:val="005A7B10"/>
    <w:rsid w:val="005B0762"/>
    <w:rsid w:val="005B0F6E"/>
    <w:rsid w:val="005B1322"/>
    <w:rsid w:val="005B2060"/>
    <w:rsid w:val="005B23E7"/>
    <w:rsid w:val="005B2CF3"/>
    <w:rsid w:val="005B2D1D"/>
    <w:rsid w:val="005B2D99"/>
    <w:rsid w:val="005B4FF3"/>
    <w:rsid w:val="005B50B9"/>
    <w:rsid w:val="005B5F9B"/>
    <w:rsid w:val="005B66AB"/>
    <w:rsid w:val="005B6F9A"/>
    <w:rsid w:val="005B70C5"/>
    <w:rsid w:val="005C0242"/>
    <w:rsid w:val="005C0A7B"/>
    <w:rsid w:val="005C23B3"/>
    <w:rsid w:val="005C30F2"/>
    <w:rsid w:val="005C347E"/>
    <w:rsid w:val="005C3D22"/>
    <w:rsid w:val="005C4A55"/>
    <w:rsid w:val="005C4BF7"/>
    <w:rsid w:val="005C65CD"/>
    <w:rsid w:val="005C6BC8"/>
    <w:rsid w:val="005C786A"/>
    <w:rsid w:val="005D08DB"/>
    <w:rsid w:val="005D14AE"/>
    <w:rsid w:val="005D1E3A"/>
    <w:rsid w:val="005D4659"/>
    <w:rsid w:val="005D5F4C"/>
    <w:rsid w:val="005D6361"/>
    <w:rsid w:val="005E08B6"/>
    <w:rsid w:val="005E21A3"/>
    <w:rsid w:val="005E2232"/>
    <w:rsid w:val="005E2681"/>
    <w:rsid w:val="005E28C2"/>
    <w:rsid w:val="005E3538"/>
    <w:rsid w:val="005E4B74"/>
    <w:rsid w:val="005E5527"/>
    <w:rsid w:val="005E594C"/>
    <w:rsid w:val="005E71DA"/>
    <w:rsid w:val="005E732B"/>
    <w:rsid w:val="005F01CD"/>
    <w:rsid w:val="005F0CB6"/>
    <w:rsid w:val="005F0DB2"/>
    <w:rsid w:val="005F1147"/>
    <w:rsid w:val="005F184A"/>
    <w:rsid w:val="005F1EF2"/>
    <w:rsid w:val="005F2037"/>
    <w:rsid w:val="005F24BA"/>
    <w:rsid w:val="005F3B4B"/>
    <w:rsid w:val="005F5FCB"/>
    <w:rsid w:val="005F65A7"/>
    <w:rsid w:val="006004D0"/>
    <w:rsid w:val="0060191D"/>
    <w:rsid w:val="006024E2"/>
    <w:rsid w:val="00602A2A"/>
    <w:rsid w:val="00603F84"/>
    <w:rsid w:val="006044D1"/>
    <w:rsid w:val="00604C0D"/>
    <w:rsid w:val="00604FC7"/>
    <w:rsid w:val="00605142"/>
    <w:rsid w:val="006051C6"/>
    <w:rsid w:val="0060654C"/>
    <w:rsid w:val="00606A94"/>
    <w:rsid w:val="006072FE"/>
    <w:rsid w:val="00607B8C"/>
    <w:rsid w:val="00611BB0"/>
    <w:rsid w:val="006122D4"/>
    <w:rsid w:val="00612AFF"/>
    <w:rsid w:val="006136ED"/>
    <w:rsid w:val="00613C4B"/>
    <w:rsid w:val="00614650"/>
    <w:rsid w:val="00615128"/>
    <w:rsid w:val="006159D5"/>
    <w:rsid w:val="00615CE3"/>
    <w:rsid w:val="00616892"/>
    <w:rsid w:val="00616F0E"/>
    <w:rsid w:val="00620CA3"/>
    <w:rsid w:val="00621962"/>
    <w:rsid w:val="00623567"/>
    <w:rsid w:val="006236FC"/>
    <w:rsid w:val="00623CC7"/>
    <w:rsid w:val="00623CD0"/>
    <w:rsid w:val="0062513F"/>
    <w:rsid w:val="00625886"/>
    <w:rsid w:val="00625B03"/>
    <w:rsid w:val="00626386"/>
    <w:rsid w:val="006265A6"/>
    <w:rsid w:val="006276B8"/>
    <w:rsid w:val="0062789C"/>
    <w:rsid w:val="00630A85"/>
    <w:rsid w:val="00630DF8"/>
    <w:rsid w:val="00631848"/>
    <w:rsid w:val="00632A1F"/>
    <w:rsid w:val="00633C44"/>
    <w:rsid w:val="0063425B"/>
    <w:rsid w:val="00635507"/>
    <w:rsid w:val="00635E23"/>
    <w:rsid w:val="006362B6"/>
    <w:rsid w:val="00636E45"/>
    <w:rsid w:val="0063739C"/>
    <w:rsid w:val="00637534"/>
    <w:rsid w:val="00637F96"/>
    <w:rsid w:val="0064053F"/>
    <w:rsid w:val="0064086F"/>
    <w:rsid w:val="00642132"/>
    <w:rsid w:val="00642945"/>
    <w:rsid w:val="00643374"/>
    <w:rsid w:val="006443A8"/>
    <w:rsid w:val="00645F15"/>
    <w:rsid w:val="00646939"/>
    <w:rsid w:val="00646944"/>
    <w:rsid w:val="006479FC"/>
    <w:rsid w:val="00650642"/>
    <w:rsid w:val="00651421"/>
    <w:rsid w:val="006526C6"/>
    <w:rsid w:val="00652727"/>
    <w:rsid w:val="006532DD"/>
    <w:rsid w:val="00654CA5"/>
    <w:rsid w:val="006552F6"/>
    <w:rsid w:val="00656F1F"/>
    <w:rsid w:val="0065705F"/>
    <w:rsid w:val="0065764A"/>
    <w:rsid w:val="0066010B"/>
    <w:rsid w:val="006605F8"/>
    <w:rsid w:val="006616B2"/>
    <w:rsid w:val="00662177"/>
    <w:rsid w:val="0066221F"/>
    <w:rsid w:val="00662B9B"/>
    <w:rsid w:val="0066363A"/>
    <w:rsid w:val="00663B81"/>
    <w:rsid w:val="00663C46"/>
    <w:rsid w:val="0066492D"/>
    <w:rsid w:val="0066540C"/>
    <w:rsid w:val="00665DE6"/>
    <w:rsid w:val="00666342"/>
    <w:rsid w:val="00666C09"/>
    <w:rsid w:val="00666DAC"/>
    <w:rsid w:val="006678C8"/>
    <w:rsid w:val="00670F5E"/>
    <w:rsid w:val="00671E43"/>
    <w:rsid w:val="00672117"/>
    <w:rsid w:val="00674C9E"/>
    <w:rsid w:val="00674E94"/>
    <w:rsid w:val="006750AD"/>
    <w:rsid w:val="00675129"/>
    <w:rsid w:val="006754F5"/>
    <w:rsid w:val="00675A03"/>
    <w:rsid w:val="00676230"/>
    <w:rsid w:val="00676489"/>
    <w:rsid w:val="00676FDE"/>
    <w:rsid w:val="00677253"/>
    <w:rsid w:val="00681F95"/>
    <w:rsid w:val="00682021"/>
    <w:rsid w:val="006848C3"/>
    <w:rsid w:val="006868FA"/>
    <w:rsid w:val="00686ABF"/>
    <w:rsid w:val="006904DD"/>
    <w:rsid w:val="0069294F"/>
    <w:rsid w:val="00692C0E"/>
    <w:rsid w:val="00692EF4"/>
    <w:rsid w:val="00693EBF"/>
    <w:rsid w:val="00694768"/>
    <w:rsid w:val="00695EDF"/>
    <w:rsid w:val="00696A2F"/>
    <w:rsid w:val="00697958"/>
    <w:rsid w:val="00697CEF"/>
    <w:rsid w:val="00697F3C"/>
    <w:rsid w:val="006A092E"/>
    <w:rsid w:val="006A0C00"/>
    <w:rsid w:val="006A106C"/>
    <w:rsid w:val="006A1C16"/>
    <w:rsid w:val="006A4B43"/>
    <w:rsid w:val="006A5335"/>
    <w:rsid w:val="006A5893"/>
    <w:rsid w:val="006A5D89"/>
    <w:rsid w:val="006A6085"/>
    <w:rsid w:val="006A6B4A"/>
    <w:rsid w:val="006A6CBD"/>
    <w:rsid w:val="006A74C8"/>
    <w:rsid w:val="006B046B"/>
    <w:rsid w:val="006B10E2"/>
    <w:rsid w:val="006B1E82"/>
    <w:rsid w:val="006B2EC3"/>
    <w:rsid w:val="006B3EE7"/>
    <w:rsid w:val="006B417F"/>
    <w:rsid w:val="006B4526"/>
    <w:rsid w:val="006B4B1C"/>
    <w:rsid w:val="006B5275"/>
    <w:rsid w:val="006B6083"/>
    <w:rsid w:val="006B664D"/>
    <w:rsid w:val="006B7BD8"/>
    <w:rsid w:val="006C115A"/>
    <w:rsid w:val="006C4148"/>
    <w:rsid w:val="006C4332"/>
    <w:rsid w:val="006C5F59"/>
    <w:rsid w:val="006C5F80"/>
    <w:rsid w:val="006C64C8"/>
    <w:rsid w:val="006C667B"/>
    <w:rsid w:val="006C7A06"/>
    <w:rsid w:val="006C7B6E"/>
    <w:rsid w:val="006C7C83"/>
    <w:rsid w:val="006C7E54"/>
    <w:rsid w:val="006C7ED2"/>
    <w:rsid w:val="006D09B7"/>
    <w:rsid w:val="006D0BB2"/>
    <w:rsid w:val="006D0BBA"/>
    <w:rsid w:val="006D0D87"/>
    <w:rsid w:val="006D1211"/>
    <w:rsid w:val="006D1B06"/>
    <w:rsid w:val="006D32C6"/>
    <w:rsid w:val="006D415E"/>
    <w:rsid w:val="006D5BDA"/>
    <w:rsid w:val="006D5FC3"/>
    <w:rsid w:val="006D7476"/>
    <w:rsid w:val="006E056C"/>
    <w:rsid w:val="006E0C69"/>
    <w:rsid w:val="006E1991"/>
    <w:rsid w:val="006E2052"/>
    <w:rsid w:val="006E225E"/>
    <w:rsid w:val="006E2F83"/>
    <w:rsid w:val="006E4103"/>
    <w:rsid w:val="006E583F"/>
    <w:rsid w:val="006E5F33"/>
    <w:rsid w:val="006E610F"/>
    <w:rsid w:val="006E7AC7"/>
    <w:rsid w:val="006E7C9C"/>
    <w:rsid w:val="006F084C"/>
    <w:rsid w:val="006F1B38"/>
    <w:rsid w:val="006F2116"/>
    <w:rsid w:val="006F43AD"/>
    <w:rsid w:val="006F5BE1"/>
    <w:rsid w:val="006F6FA7"/>
    <w:rsid w:val="006F7B94"/>
    <w:rsid w:val="00700203"/>
    <w:rsid w:val="00700C70"/>
    <w:rsid w:val="00700F03"/>
    <w:rsid w:val="0070111B"/>
    <w:rsid w:val="00702CA7"/>
    <w:rsid w:val="00704F91"/>
    <w:rsid w:val="007051D1"/>
    <w:rsid w:val="007054AC"/>
    <w:rsid w:val="00707343"/>
    <w:rsid w:val="00707B0A"/>
    <w:rsid w:val="007101B9"/>
    <w:rsid w:val="007105A2"/>
    <w:rsid w:val="00711511"/>
    <w:rsid w:val="00712317"/>
    <w:rsid w:val="00715FA6"/>
    <w:rsid w:val="00716B36"/>
    <w:rsid w:val="00716DAB"/>
    <w:rsid w:val="0072039C"/>
    <w:rsid w:val="00720616"/>
    <w:rsid w:val="007206D5"/>
    <w:rsid w:val="00720DC3"/>
    <w:rsid w:val="00721902"/>
    <w:rsid w:val="0072194E"/>
    <w:rsid w:val="00721CA4"/>
    <w:rsid w:val="00721D3D"/>
    <w:rsid w:val="00721DF3"/>
    <w:rsid w:val="00722035"/>
    <w:rsid w:val="007222FF"/>
    <w:rsid w:val="00722565"/>
    <w:rsid w:val="00722C89"/>
    <w:rsid w:val="00723804"/>
    <w:rsid w:val="007238BC"/>
    <w:rsid w:val="00723C04"/>
    <w:rsid w:val="00724668"/>
    <w:rsid w:val="00725770"/>
    <w:rsid w:val="007259D2"/>
    <w:rsid w:val="00727338"/>
    <w:rsid w:val="007303F1"/>
    <w:rsid w:val="00730821"/>
    <w:rsid w:val="007308F9"/>
    <w:rsid w:val="00730A89"/>
    <w:rsid w:val="00730E24"/>
    <w:rsid w:val="00731690"/>
    <w:rsid w:val="00731B38"/>
    <w:rsid w:val="00731D6E"/>
    <w:rsid w:val="0073269E"/>
    <w:rsid w:val="0073445F"/>
    <w:rsid w:val="00734AA4"/>
    <w:rsid w:val="0073743D"/>
    <w:rsid w:val="007410B2"/>
    <w:rsid w:val="00741196"/>
    <w:rsid w:val="00741851"/>
    <w:rsid w:val="00743701"/>
    <w:rsid w:val="00743B4C"/>
    <w:rsid w:val="00745368"/>
    <w:rsid w:val="00745572"/>
    <w:rsid w:val="00745DD7"/>
    <w:rsid w:val="00747504"/>
    <w:rsid w:val="00747770"/>
    <w:rsid w:val="0074795B"/>
    <w:rsid w:val="007502E4"/>
    <w:rsid w:val="007503DA"/>
    <w:rsid w:val="007510F6"/>
    <w:rsid w:val="00751157"/>
    <w:rsid w:val="0075125D"/>
    <w:rsid w:val="007526A0"/>
    <w:rsid w:val="00752A90"/>
    <w:rsid w:val="00752E6F"/>
    <w:rsid w:val="00753199"/>
    <w:rsid w:val="0075461C"/>
    <w:rsid w:val="007549AF"/>
    <w:rsid w:val="00755016"/>
    <w:rsid w:val="00755D28"/>
    <w:rsid w:val="00755F4D"/>
    <w:rsid w:val="007570C3"/>
    <w:rsid w:val="007573C9"/>
    <w:rsid w:val="00761C66"/>
    <w:rsid w:val="00762504"/>
    <w:rsid w:val="00762E28"/>
    <w:rsid w:val="00762F9D"/>
    <w:rsid w:val="00763851"/>
    <w:rsid w:val="007648B3"/>
    <w:rsid w:val="00764EE5"/>
    <w:rsid w:val="007651A5"/>
    <w:rsid w:val="00765DF8"/>
    <w:rsid w:val="00766B5F"/>
    <w:rsid w:val="00766B9B"/>
    <w:rsid w:val="00767E94"/>
    <w:rsid w:val="0077092C"/>
    <w:rsid w:val="00770E91"/>
    <w:rsid w:val="0077117B"/>
    <w:rsid w:val="007711DA"/>
    <w:rsid w:val="0077170E"/>
    <w:rsid w:val="00771E57"/>
    <w:rsid w:val="00771F96"/>
    <w:rsid w:val="007721D0"/>
    <w:rsid w:val="00772382"/>
    <w:rsid w:val="00772DC7"/>
    <w:rsid w:val="00774C98"/>
    <w:rsid w:val="007773B3"/>
    <w:rsid w:val="00781945"/>
    <w:rsid w:val="00782314"/>
    <w:rsid w:val="0078367B"/>
    <w:rsid w:val="00784A12"/>
    <w:rsid w:val="00784FA0"/>
    <w:rsid w:val="007857F3"/>
    <w:rsid w:val="00785BC4"/>
    <w:rsid w:val="00786215"/>
    <w:rsid w:val="00786819"/>
    <w:rsid w:val="00786BAA"/>
    <w:rsid w:val="0078753C"/>
    <w:rsid w:val="00787851"/>
    <w:rsid w:val="007901D8"/>
    <w:rsid w:val="0079094D"/>
    <w:rsid w:val="00790E04"/>
    <w:rsid w:val="00791C96"/>
    <w:rsid w:val="00793124"/>
    <w:rsid w:val="00793F2D"/>
    <w:rsid w:val="00794514"/>
    <w:rsid w:val="00795B01"/>
    <w:rsid w:val="00795B20"/>
    <w:rsid w:val="0079630F"/>
    <w:rsid w:val="007963D2"/>
    <w:rsid w:val="00796807"/>
    <w:rsid w:val="00796AD2"/>
    <w:rsid w:val="00796C17"/>
    <w:rsid w:val="007A0013"/>
    <w:rsid w:val="007A1213"/>
    <w:rsid w:val="007A1C1F"/>
    <w:rsid w:val="007A22D3"/>
    <w:rsid w:val="007A2B81"/>
    <w:rsid w:val="007A2E6D"/>
    <w:rsid w:val="007A2EB0"/>
    <w:rsid w:val="007A317B"/>
    <w:rsid w:val="007A3AEE"/>
    <w:rsid w:val="007A41B8"/>
    <w:rsid w:val="007A48BA"/>
    <w:rsid w:val="007A514E"/>
    <w:rsid w:val="007A6354"/>
    <w:rsid w:val="007A63FB"/>
    <w:rsid w:val="007A7509"/>
    <w:rsid w:val="007A7813"/>
    <w:rsid w:val="007A7BB0"/>
    <w:rsid w:val="007A7C02"/>
    <w:rsid w:val="007A7E41"/>
    <w:rsid w:val="007A7E64"/>
    <w:rsid w:val="007B11D5"/>
    <w:rsid w:val="007B1684"/>
    <w:rsid w:val="007B1751"/>
    <w:rsid w:val="007B1F3B"/>
    <w:rsid w:val="007B2CD9"/>
    <w:rsid w:val="007B3B88"/>
    <w:rsid w:val="007B40EC"/>
    <w:rsid w:val="007B5CD4"/>
    <w:rsid w:val="007B68D2"/>
    <w:rsid w:val="007B6C76"/>
    <w:rsid w:val="007B7179"/>
    <w:rsid w:val="007B7DF6"/>
    <w:rsid w:val="007C2AF7"/>
    <w:rsid w:val="007C2F6B"/>
    <w:rsid w:val="007C5101"/>
    <w:rsid w:val="007C598C"/>
    <w:rsid w:val="007C6A17"/>
    <w:rsid w:val="007C7479"/>
    <w:rsid w:val="007C7CF7"/>
    <w:rsid w:val="007C7D43"/>
    <w:rsid w:val="007D044E"/>
    <w:rsid w:val="007D0D2E"/>
    <w:rsid w:val="007D12EA"/>
    <w:rsid w:val="007D14D3"/>
    <w:rsid w:val="007D675E"/>
    <w:rsid w:val="007D6851"/>
    <w:rsid w:val="007E04F9"/>
    <w:rsid w:val="007E276B"/>
    <w:rsid w:val="007E2F60"/>
    <w:rsid w:val="007E3BAA"/>
    <w:rsid w:val="007E4897"/>
    <w:rsid w:val="007E55ED"/>
    <w:rsid w:val="007E5E47"/>
    <w:rsid w:val="007E6FFB"/>
    <w:rsid w:val="007E7A09"/>
    <w:rsid w:val="007E7E87"/>
    <w:rsid w:val="007F0076"/>
    <w:rsid w:val="007F1D52"/>
    <w:rsid w:val="007F2033"/>
    <w:rsid w:val="007F2C6E"/>
    <w:rsid w:val="007F46A1"/>
    <w:rsid w:val="007F4C91"/>
    <w:rsid w:val="007F588A"/>
    <w:rsid w:val="007F656E"/>
    <w:rsid w:val="007F78F7"/>
    <w:rsid w:val="007F7C18"/>
    <w:rsid w:val="007F7D48"/>
    <w:rsid w:val="007F7D6E"/>
    <w:rsid w:val="008000B2"/>
    <w:rsid w:val="00800ED3"/>
    <w:rsid w:val="008011E4"/>
    <w:rsid w:val="00802B76"/>
    <w:rsid w:val="00803054"/>
    <w:rsid w:val="008037B3"/>
    <w:rsid w:val="0080489D"/>
    <w:rsid w:val="00806C8B"/>
    <w:rsid w:val="00807DEA"/>
    <w:rsid w:val="008101A4"/>
    <w:rsid w:val="00810EE1"/>
    <w:rsid w:val="00813ABB"/>
    <w:rsid w:val="00815CF1"/>
    <w:rsid w:val="008161C8"/>
    <w:rsid w:val="00817D53"/>
    <w:rsid w:val="00820496"/>
    <w:rsid w:val="008206EA"/>
    <w:rsid w:val="008220D1"/>
    <w:rsid w:val="0082225F"/>
    <w:rsid w:val="00822BEB"/>
    <w:rsid w:val="008238F3"/>
    <w:rsid w:val="008245BA"/>
    <w:rsid w:val="008259EC"/>
    <w:rsid w:val="00826BB0"/>
    <w:rsid w:val="00826F67"/>
    <w:rsid w:val="00827F42"/>
    <w:rsid w:val="0083025F"/>
    <w:rsid w:val="00831EA2"/>
    <w:rsid w:val="00832BD7"/>
    <w:rsid w:val="00833876"/>
    <w:rsid w:val="00833B68"/>
    <w:rsid w:val="008347A9"/>
    <w:rsid w:val="00834B6E"/>
    <w:rsid w:val="00836278"/>
    <w:rsid w:val="00836482"/>
    <w:rsid w:val="00837078"/>
    <w:rsid w:val="0083720B"/>
    <w:rsid w:val="00841ACE"/>
    <w:rsid w:val="00842363"/>
    <w:rsid w:val="00842AB2"/>
    <w:rsid w:val="00843448"/>
    <w:rsid w:val="00843B09"/>
    <w:rsid w:val="0084517A"/>
    <w:rsid w:val="00846173"/>
    <w:rsid w:val="00846945"/>
    <w:rsid w:val="008508A4"/>
    <w:rsid w:val="0085230F"/>
    <w:rsid w:val="0085408D"/>
    <w:rsid w:val="00855C80"/>
    <w:rsid w:val="00855DD9"/>
    <w:rsid w:val="008566D3"/>
    <w:rsid w:val="008577B9"/>
    <w:rsid w:val="00857BFD"/>
    <w:rsid w:val="0086012E"/>
    <w:rsid w:val="00860215"/>
    <w:rsid w:val="00861E44"/>
    <w:rsid w:val="00862357"/>
    <w:rsid w:val="00862740"/>
    <w:rsid w:val="00862AB6"/>
    <w:rsid w:val="00863D4F"/>
    <w:rsid w:val="008645ED"/>
    <w:rsid w:val="00864A90"/>
    <w:rsid w:val="00864C33"/>
    <w:rsid w:val="008650EB"/>
    <w:rsid w:val="00865D2B"/>
    <w:rsid w:val="00865FF2"/>
    <w:rsid w:val="00866B9C"/>
    <w:rsid w:val="0087175B"/>
    <w:rsid w:val="00872D72"/>
    <w:rsid w:val="00873BC6"/>
    <w:rsid w:val="008758C5"/>
    <w:rsid w:val="00876600"/>
    <w:rsid w:val="008776C6"/>
    <w:rsid w:val="00880B34"/>
    <w:rsid w:val="00880FF1"/>
    <w:rsid w:val="00882CC8"/>
    <w:rsid w:val="008831C3"/>
    <w:rsid w:val="00883D7F"/>
    <w:rsid w:val="00885C48"/>
    <w:rsid w:val="00887238"/>
    <w:rsid w:val="0088762F"/>
    <w:rsid w:val="00890CA8"/>
    <w:rsid w:val="0089137E"/>
    <w:rsid w:val="00891666"/>
    <w:rsid w:val="00891A1C"/>
    <w:rsid w:val="00891F42"/>
    <w:rsid w:val="0089207B"/>
    <w:rsid w:val="00892351"/>
    <w:rsid w:val="008926AA"/>
    <w:rsid w:val="00892BED"/>
    <w:rsid w:val="00892C1F"/>
    <w:rsid w:val="0089341E"/>
    <w:rsid w:val="008940CB"/>
    <w:rsid w:val="00894E69"/>
    <w:rsid w:val="00894F25"/>
    <w:rsid w:val="00896157"/>
    <w:rsid w:val="0089672B"/>
    <w:rsid w:val="008968EA"/>
    <w:rsid w:val="00896B96"/>
    <w:rsid w:val="008A015E"/>
    <w:rsid w:val="008A2367"/>
    <w:rsid w:val="008A23E6"/>
    <w:rsid w:val="008A2C6F"/>
    <w:rsid w:val="008A3235"/>
    <w:rsid w:val="008A3AA4"/>
    <w:rsid w:val="008A44A3"/>
    <w:rsid w:val="008A4785"/>
    <w:rsid w:val="008A49FD"/>
    <w:rsid w:val="008A54E0"/>
    <w:rsid w:val="008A55CB"/>
    <w:rsid w:val="008A6B76"/>
    <w:rsid w:val="008A6E70"/>
    <w:rsid w:val="008A735A"/>
    <w:rsid w:val="008B0680"/>
    <w:rsid w:val="008B10F5"/>
    <w:rsid w:val="008B42C0"/>
    <w:rsid w:val="008B459D"/>
    <w:rsid w:val="008B540E"/>
    <w:rsid w:val="008B5DAF"/>
    <w:rsid w:val="008B6A2E"/>
    <w:rsid w:val="008B7D2A"/>
    <w:rsid w:val="008C0F67"/>
    <w:rsid w:val="008C192D"/>
    <w:rsid w:val="008C1C10"/>
    <w:rsid w:val="008C2916"/>
    <w:rsid w:val="008C2C6F"/>
    <w:rsid w:val="008C34C6"/>
    <w:rsid w:val="008C4357"/>
    <w:rsid w:val="008C4779"/>
    <w:rsid w:val="008C4848"/>
    <w:rsid w:val="008C5006"/>
    <w:rsid w:val="008C5062"/>
    <w:rsid w:val="008C50E1"/>
    <w:rsid w:val="008C597F"/>
    <w:rsid w:val="008C6DD0"/>
    <w:rsid w:val="008C77A3"/>
    <w:rsid w:val="008C7901"/>
    <w:rsid w:val="008D0CDE"/>
    <w:rsid w:val="008D0EAE"/>
    <w:rsid w:val="008D3542"/>
    <w:rsid w:val="008D59C6"/>
    <w:rsid w:val="008D5FC5"/>
    <w:rsid w:val="008D6BA6"/>
    <w:rsid w:val="008D70AA"/>
    <w:rsid w:val="008E08DA"/>
    <w:rsid w:val="008E147C"/>
    <w:rsid w:val="008E1AEB"/>
    <w:rsid w:val="008E2A28"/>
    <w:rsid w:val="008E2B1A"/>
    <w:rsid w:val="008E2D10"/>
    <w:rsid w:val="008E3BA7"/>
    <w:rsid w:val="008E4208"/>
    <w:rsid w:val="008E4BA5"/>
    <w:rsid w:val="008E7390"/>
    <w:rsid w:val="008F34FD"/>
    <w:rsid w:val="008F3656"/>
    <w:rsid w:val="008F50D8"/>
    <w:rsid w:val="008F5C69"/>
    <w:rsid w:val="008F65B0"/>
    <w:rsid w:val="008F696C"/>
    <w:rsid w:val="00900D6A"/>
    <w:rsid w:val="00900F3E"/>
    <w:rsid w:val="00901811"/>
    <w:rsid w:val="0090192B"/>
    <w:rsid w:val="0090307F"/>
    <w:rsid w:val="00903E11"/>
    <w:rsid w:val="00903F25"/>
    <w:rsid w:val="009053E9"/>
    <w:rsid w:val="009055EF"/>
    <w:rsid w:val="0090561A"/>
    <w:rsid w:val="00905A6D"/>
    <w:rsid w:val="00905F0B"/>
    <w:rsid w:val="00906287"/>
    <w:rsid w:val="00907FE9"/>
    <w:rsid w:val="00910436"/>
    <w:rsid w:val="0091072C"/>
    <w:rsid w:val="009108E8"/>
    <w:rsid w:val="00911AFD"/>
    <w:rsid w:val="00911B7F"/>
    <w:rsid w:val="009123C9"/>
    <w:rsid w:val="00914F99"/>
    <w:rsid w:val="00915104"/>
    <w:rsid w:val="00915115"/>
    <w:rsid w:val="0091532A"/>
    <w:rsid w:val="00916630"/>
    <w:rsid w:val="00916A61"/>
    <w:rsid w:val="009224A2"/>
    <w:rsid w:val="009227ED"/>
    <w:rsid w:val="009228A1"/>
    <w:rsid w:val="00922D7A"/>
    <w:rsid w:val="009245C1"/>
    <w:rsid w:val="00924616"/>
    <w:rsid w:val="009266AB"/>
    <w:rsid w:val="00927A45"/>
    <w:rsid w:val="00927B79"/>
    <w:rsid w:val="00927E70"/>
    <w:rsid w:val="00930DFB"/>
    <w:rsid w:val="0093202B"/>
    <w:rsid w:val="009324A8"/>
    <w:rsid w:val="009326B1"/>
    <w:rsid w:val="009328DD"/>
    <w:rsid w:val="00932C67"/>
    <w:rsid w:val="00932D95"/>
    <w:rsid w:val="00932EA4"/>
    <w:rsid w:val="009333BE"/>
    <w:rsid w:val="009343DA"/>
    <w:rsid w:val="009353E6"/>
    <w:rsid w:val="009355D9"/>
    <w:rsid w:val="00935EF4"/>
    <w:rsid w:val="00940040"/>
    <w:rsid w:val="00941A2A"/>
    <w:rsid w:val="009421F0"/>
    <w:rsid w:val="0094396D"/>
    <w:rsid w:val="00943C0E"/>
    <w:rsid w:val="0094484A"/>
    <w:rsid w:val="00945040"/>
    <w:rsid w:val="009470D1"/>
    <w:rsid w:val="0094730E"/>
    <w:rsid w:val="00947515"/>
    <w:rsid w:val="00947F44"/>
    <w:rsid w:val="00950297"/>
    <w:rsid w:val="0095059F"/>
    <w:rsid w:val="00950A17"/>
    <w:rsid w:val="00951D34"/>
    <w:rsid w:val="009520C2"/>
    <w:rsid w:val="0095297F"/>
    <w:rsid w:val="009529B9"/>
    <w:rsid w:val="009535C3"/>
    <w:rsid w:val="009539A6"/>
    <w:rsid w:val="00953D87"/>
    <w:rsid w:val="00954125"/>
    <w:rsid w:val="0095564E"/>
    <w:rsid w:val="009557E6"/>
    <w:rsid w:val="009567E7"/>
    <w:rsid w:val="00957DCF"/>
    <w:rsid w:val="00960758"/>
    <w:rsid w:val="00960BC8"/>
    <w:rsid w:val="00961D42"/>
    <w:rsid w:val="00962674"/>
    <w:rsid w:val="009629F9"/>
    <w:rsid w:val="00964AE8"/>
    <w:rsid w:val="009656E4"/>
    <w:rsid w:val="009658B0"/>
    <w:rsid w:val="0096741E"/>
    <w:rsid w:val="00967A0A"/>
    <w:rsid w:val="00967AA1"/>
    <w:rsid w:val="00970332"/>
    <w:rsid w:val="009711C5"/>
    <w:rsid w:val="009716C3"/>
    <w:rsid w:val="00972779"/>
    <w:rsid w:val="009736E8"/>
    <w:rsid w:val="00976091"/>
    <w:rsid w:val="0097632C"/>
    <w:rsid w:val="009765E4"/>
    <w:rsid w:val="00976A4E"/>
    <w:rsid w:val="0097703E"/>
    <w:rsid w:val="0097789B"/>
    <w:rsid w:val="009778BE"/>
    <w:rsid w:val="009779AD"/>
    <w:rsid w:val="0098161C"/>
    <w:rsid w:val="0098225B"/>
    <w:rsid w:val="00982439"/>
    <w:rsid w:val="00983260"/>
    <w:rsid w:val="009834C4"/>
    <w:rsid w:val="009835D5"/>
    <w:rsid w:val="0098380C"/>
    <w:rsid w:val="009838F7"/>
    <w:rsid w:val="00984E94"/>
    <w:rsid w:val="009851A9"/>
    <w:rsid w:val="009852CE"/>
    <w:rsid w:val="009857CA"/>
    <w:rsid w:val="00985A81"/>
    <w:rsid w:val="0098664D"/>
    <w:rsid w:val="0098736C"/>
    <w:rsid w:val="009873EF"/>
    <w:rsid w:val="009919E0"/>
    <w:rsid w:val="0099252E"/>
    <w:rsid w:val="00993A86"/>
    <w:rsid w:val="0099440C"/>
    <w:rsid w:val="0099466C"/>
    <w:rsid w:val="00995EB2"/>
    <w:rsid w:val="009965F1"/>
    <w:rsid w:val="0099750E"/>
    <w:rsid w:val="009A01AD"/>
    <w:rsid w:val="009A1006"/>
    <w:rsid w:val="009A19E3"/>
    <w:rsid w:val="009A3008"/>
    <w:rsid w:val="009A4666"/>
    <w:rsid w:val="009A4EBB"/>
    <w:rsid w:val="009A50B3"/>
    <w:rsid w:val="009A50C1"/>
    <w:rsid w:val="009A5D27"/>
    <w:rsid w:val="009A5DDB"/>
    <w:rsid w:val="009A6ED5"/>
    <w:rsid w:val="009A7CD3"/>
    <w:rsid w:val="009A7F2F"/>
    <w:rsid w:val="009B218F"/>
    <w:rsid w:val="009B2A36"/>
    <w:rsid w:val="009B382A"/>
    <w:rsid w:val="009B41C0"/>
    <w:rsid w:val="009B44C7"/>
    <w:rsid w:val="009B4675"/>
    <w:rsid w:val="009B4BA9"/>
    <w:rsid w:val="009C0CE8"/>
    <w:rsid w:val="009C2CB0"/>
    <w:rsid w:val="009C4C09"/>
    <w:rsid w:val="009C5F47"/>
    <w:rsid w:val="009C6AD5"/>
    <w:rsid w:val="009C6B3C"/>
    <w:rsid w:val="009C6BEB"/>
    <w:rsid w:val="009C7B81"/>
    <w:rsid w:val="009C7DE9"/>
    <w:rsid w:val="009D0C94"/>
    <w:rsid w:val="009D1250"/>
    <w:rsid w:val="009D1550"/>
    <w:rsid w:val="009D3E91"/>
    <w:rsid w:val="009D3F44"/>
    <w:rsid w:val="009D5AE0"/>
    <w:rsid w:val="009D6324"/>
    <w:rsid w:val="009E053D"/>
    <w:rsid w:val="009E102F"/>
    <w:rsid w:val="009E18A9"/>
    <w:rsid w:val="009E1927"/>
    <w:rsid w:val="009E3F34"/>
    <w:rsid w:val="009E55F8"/>
    <w:rsid w:val="009E5C9A"/>
    <w:rsid w:val="009E6642"/>
    <w:rsid w:val="009E68AA"/>
    <w:rsid w:val="009E6AE8"/>
    <w:rsid w:val="009E6C63"/>
    <w:rsid w:val="009E7935"/>
    <w:rsid w:val="009E7B26"/>
    <w:rsid w:val="009F0F17"/>
    <w:rsid w:val="009F12C9"/>
    <w:rsid w:val="009F1791"/>
    <w:rsid w:val="009F1E2D"/>
    <w:rsid w:val="009F25BA"/>
    <w:rsid w:val="009F3F9E"/>
    <w:rsid w:val="00A001C3"/>
    <w:rsid w:val="00A0078C"/>
    <w:rsid w:val="00A035BC"/>
    <w:rsid w:val="00A03834"/>
    <w:rsid w:val="00A0387B"/>
    <w:rsid w:val="00A05314"/>
    <w:rsid w:val="00A05BC1"/>
    <w:rsid w:val="00A05C92"/>
    <w:rsid w:val="00A113BD"/>
    <w:rsid w:val="00A1273B"/>
    <w:rsid w:val="00A12D4F"/>
    <w:rsid w:val="00A13853"/>
    <w:rsid w:val="00A13E65"/>
    <w:rsid w:val="00A14D32"/>
    <w:rsid w:val="00A176B0"/>
    <w:rsid w:val="00A17930"/>
    <w:rsid w:val="00A20AB0"/>
    <w:rsid w:val="00A20F03"/>
    <w:rsid w:val="00A21933"/>
    <w:rsid w:val="00A22C44"/>
    <w:rsid w:val="00A2383F"/>
    <w:rsid w:val="00A23A26"/>
    <w:rsid w:val="00A23C9C"/>
    <w:rsid w:val="00A240D3"/>
    <w:rsid w:val="00A24281"/>
    <w:rsid w:val="00A246F6"/>
    <w:rsid w:val="00A24BBC"/>
    <w:rsid w:val="00A24DCF"/>
    <w:rsid w:val="00A26311"/>
    <w:rsid w:val="00A26E01"/>
    <w:rsid w:val="00A27997"/>
    <w:rsid w:val="00A27CDB"/>
    <w:rsid w:val="00A30150"/>
    <w:rsid w:val="00A30179"/>
    <w:rsid w:val="00A321FD"/>
    <w:rsid w:val="00A3365E"/>
    <w:rsid w:val="00A347AA"/>
    <w:rsid w:val="00A34A0D"/>
    <w:rsid w:val="00A353FE"/>
    <w:rsid w:val="00A3566B"/>
    <w:rsid w:val="00A35ECA"/>
    <w:rsid w:val="00A37156"/>
    <w:rsid w:val="00A37D88"/>
    <w:rsid w:val="00A403F7"/>
    <w:rsid w:val="00A40DF2"/>
    <w:rsid w:val="00A4174E"/>
    <w:rsid w:val="00A4175C"/>
    <w:rsid w:val="00A428B9"/>
    <w:rsid w:val="00A432CD"/>
    <w:rsid w:val="00A44C09"/>
    <w:rsid w:val="00A44C4E"/>
    <w:rsid w:val="00A47D0E"/>
    <w:rsid w:val="00A50426"/>
    <w:rsid w:val="00A50F38"/>
    <w:rsid w:val="00A513C9"/>
    <w:rsid w:val="00A527AC"/>
    <w:rsid w:val="00A52BC9"/>
    <w:rsid w:val="00A53B3B"/>
    <w:rsid w:val="00A544C1"/>
    <w:rsid w:val="00A566FF"/>
    <w:rsid w:val="00A57210"/>
    <w:rsid w:val="00A61293"/>
    <w:rsid w:val="00A62372"/>
    <w:rsid w:val="00A63BF3"/>
    <w:rsid w:val="00A63D2B"/>
    <w:rsid w:val="00A64B83"/>
    <w:rsid w:val="00A64FC9"/>
    <w:rsid w:val="00A657C8"/>
    <w:rsid w:val="00A665D7"/>
    <w:rsid w:val="00A66D71"/>
    <w:rsid w:val="00A6768B"/>
    <w:rsid w:val="00A67897"/>
    <w:rsid w:val="00A67AF8"/>
    <w:rsid w:val="00A71832"/>
    <w:rsid w:val="00A7295A"/>
    <w:rsid w:val="00A7338A"/>
    <w:rsid w:val="00A74757"/>
    <w:rsid w:val="00A74FBD"/>
    <w:rsid w:val="00A76078"/>
    <w:rsid w:val="00A760C7"/>
    <w:rsid w:val="00A773AB"/>
    <w:rsid w:val="00A7762E"/>
    <w:rsid w:val="00A77B75"/>
    <w:rsid w:val="00A800A3"/>
    <w:rsid w:val="00A80AF7"/>
    <w:rsid w:val="00A80E82"/>
    <w:rsid w:val="00A82AC4"/>
    <w:rsid w:val="00A82CBB"/>
    <w:rsid w:val="00A83F1C"/>
    <w:rsid w:val="00A83FFF"/>
    <w:rsid w:val="00A84A8D"/>
    <w:rsid w:val="00A860DC"/>
    <w:rsid w:val="00A86B9F"/>
    <w:rsid w:val="00A870B7"/>
    <w:rsid w:val="00A91415"/>
    <w:rsid w:val="00A91CA1"/>
    <w:rsid w:val="00A93165"/>
    <w:rsid w:val="00A9437F"/>
    <w:rsid w:val="00A94566"/>
    <w:rsid w:val="00AA15E9"/>
    <w:rsid w:val="00AA1770"/>
    <w:rsid w:val="00AA265F"/>
    <w:rsid w:val="00AA29AD"/>
    <w:rsid w:val="00AA311E"/>
    <w:rsid w:val="00AA4823"/>
    <w:rsid w:val="00AA7889"/>
    <w:rsid w:val="00AB12CB"/>
    <w:rsid w:val="00AB1491"/>
    <w:rsid w:val="00AB28B6"/>
    <w:rsid w:val="00AB32F6"/>
    <w:rsid w:val="00AB3932"/>
    <w:rsid w:val="00AB3DA8"/>
    <w:rsid w:val="00AB5D08"/>
    <w:rsid w:val="00AB73A0"/>
    <w:rsid w:val="00AB77B1"/>
    <w:rsid w:val="00AB7AD1"/>
    <w:rsid w:val="00AC157D"/>
    <w:rsid w:val="00AC2739"/>
    <w:rsid w:val="00AC2941"/>
    <w:rsid w:val="00AC32D6"/>
    <w:rsid w:val="00AC446B"/>
    <w:rsid w:val="00AC4CE3"/>
    <w:rsid w:val="00AC5AE8"/>
    <w:rsid w:val="00AC6082"/>
    <w:rsid w:val="00AD00F6"/>
    <w:rsid w:val="00AD0184"/>
    <w:rsid w:val="00AD1B65"/>
    <w:rsid w:val="00AD38C3"/>
    <w:rsid w:val="00AD502A"/>
    <w:rsid w:val="00AD5F3C"/>
    <w:rsid w:val="00AD663E"/>
    <w:rsid w:val="00AD6CA6"/>
    <w:rsid w:val="00AD7AAD"/>
    <w:rsid w:val="00AE0A88"/>
    <w:rsid w:val="00AE158A"/>
    <w:rsid w:val="00AE1E05"/>
    <w:rsid w:val="00AE40BA"/>
    <w:rsid w:val="00AE4292"/>
    <w:rsid w:val="00AE4B64"/>
    <w:rsid w:val="00AE6B85"/>
    <w:rsid w:val="00AE7411"/>
    <w:rsid w:val="00AE7989"/>
    <w:rsid w:val="00AE7F3B"/>
    <w:rsid w:val="00AF0305"/>
    <w:rsid w:val="00AF05F7"/>
    <w:rsid w:val="00AF213D"/>
    <w:rsid w:val="00AF3E39"/>
    <w:rsid w:val="00AF4DD8"/>
    <w:rsid w:val="00AF5DAD"/>
    <w:rsid w:val="00AF643A"/>
    <w:rsid w:val="00AF688D"/>
    <w:rsid w:val="00AF7997"/>
    <w:rsid w:val="00AF7BEF"/>
    <w:rsid w:val="00AF7E36"/>
    <w:rsid w:val="00B00F77"/>
    <w:rsid w:val="00B018A8"/>
    <w:rsid w:val="00B02E53"/>
    <w:rsid w:val="00B05778"/>
    <w:rsid w:val="00B05F5E"/>
    <w:rsid w:val="00B0685C"/>
    <w:rsid w:val="00B076EB"/>
    <w:rsid w:val="00B0770E"/>
    <w:rsid w:val="00B07815"/>
    <w:rsid w:val="00B1008D"/>
    <w:rsid w:val="00B11E7B"/>
    <w:rsid w:val="00B12086"/>
    <w:rsid w:val="00B1216E"/>
    <w:rsid w:val="00B12403"/>
    <w:rsid w:val="00B14CB8"/>
    <w:rsid w:val="00B14CCF"/>
    <w:rsid w:val="00B1535F"/>
    <w:rsid w:val="00B156E4"/>
    <w:rsid w:val="00B16970"/>
    <w:rsid w:val="00B175A2"/>
    <w:rsid w:val="00B17A7B"/>
    <w:rsid w:val="00B17D6B"/>
    <w:rsid w:val="00B20376"/>
    <w:rsid w:val="00B211F9"/>
    <w:rsid w:val="00B21249"/>
    <w:rsid w:val="00B23626"/>
    <w:rsid w:val="00B23CF7"/>
    <w:rsid w:val="00B24AD2"/>
    <w:rsid w:val="00B25B19"/>
    <w:rsid w:val="00B25BB8"/>
    <w:rsid w:val="00B30327"/>
    <w:rsid w:val="00B30888"/>
    <w:rsid w:val="00B309E2"/>
    <w:rsid w:val="00B316F5"/>
    <w:rsid w:val="00B31C2D"/>
    <w:rsid w:val="00B32F2D"/>
    <w:rsid w:val="00B331C2"/>
    <w:rsid w:val="00B33822"/>
    <w:rsid w:val="00B34BB6"/>
    <w:rsid w:val="00B351A2"/>
    <w:rsid w:val="00B3639D"/>
    <w:rsid w:val="00B36640"/>
    <w:rsid w:val="00B379D7"/>
    <w:rsid w:val="00B37F3D"/>
    <w:rsid w:val="00B4064F"/>
    <w:rsid w:val="00B414BF"/>
    <w:rsid w:val="00B42A91"/>
    <w:rsid w:val="00B43141"/>
    <w:rsid w:val="00B43600"/>
    <w:rsid w:val="00B44E2F"/>
    <w:rsid w:val="00B464EA"/>
    <w:rsid w:val="00B47C95"/>
    <w:rsid w:val="00B510F6"/>
    <w:rsid w:val="00B51774"/>
    <w:rsid w:val="00B52110"/>
    <w:rsid w:val="00B53EE0"/>
    <w:rsid w:val="00B5499D"/>
    <w:rsid w:val="00B55D15"/>
    <w:rsid w:val="00B56F98"/>
    <w:rsid w:val="00B56FF5"/>
    <w:rsid w:val="00B578EB"/>
    <w:rsid w:val="00B57C7F"/>
    <w:rsid w:val="00B60FE9"/>
    <w:rsid w:val="00B61751"/>
    <w:rsid w:val="00B62152"/>
    <w:rsid w:val="00B62E98"/>
    <w:rsid w:val="00B63655"/>
    <w:rsid w:val="00B638BF"/>
    <w:rsid w:val="00B638E3"/>
    <w:rsid w:val="00B63AB6"/>
    <w:rsid w:val="00B6424A"/>
    <w:rsid w:val="00B65073"/>
    <w:rsid w:val="00B661C8"/>
    <w:rsid w:val="00B674E1"/>
    <w:rsid w:val="00B675DB"/>
    <w:rsid w:val="00B70D87"/>
    <w:rsid w:val="00B70F69"/>
    <w:rsid w:val="00B72212"/>
    <w:rsid w:val="00B7330B"/>
    <w:rsid w:val="00B7394A"/>
    <w:rsid w:val="00B74CCF"/>
    <w:rsid w:val="00B75120"/>
    <w:rsid w:val="00B77250"/>
    <w:rsid w:val="00B77293"/>
    <w:rsid w:val="00B82D01"/>
    <w:rsid w:val="00B82FBF"/>
    <w:rsid w:val="00B8309E"/>
    <w:rsid w:val="00B842FA"/>
    <w:rsid w:val="00B8452D"/>
    <w:rsid w:val="00B84C40"/>
    <w:rsid w:val="00B867FB"/>
    <w:rsid w:val="00B86FC9"/>
    <w:rsid w:val="00B87F0D"/>
    <w:rsid w:val="00B906D0"/>
    <w:rsid w:val="00B91052"/>
    <w:rsid w:val="00B92E28"/>
    <w:rsid w:val="00B93203"/>
    <w:rsid w:val="00B93623"/>
    <w:rsid w:val="00B944D3"/>
    <w:rsid w:val="00B94D3D"/>
    <w:rsid w:val="00B96413"/>
    <w:rsid w:val="00B96BD8"/>
    <w:rsid w:val="00B97583"/>
    <w:rsid w:val="00BA0782"/>
    <w:rsid w:val="00BA081D"/>
    <w:rsid w:val="00BA0DCA"/>
    <w:rsid w:val="00BA0EC7"/>
    <w:rsid w:val="00BA1203"/>
    <w:rsid w:val="00BA2555"/>
    <w:rsid w:val="00BA2C9D"/>
    <w:rsid w:val="00BA44DC"/>
    <w:rsid w:val="00BA4BFC"/>
    <w:rsid w:val="00BA54A4"/>
    <w:rsid w:val="00BA5D98"/>
    <w:rsid w:val="00BA6328"/>
    <w:rsid w:val="00BA704E"/>
    <w:rsid w:val="00BA7378"/>
    <w:rsid w:val="00BA7DD9"/>
    <w:rsid w:val="00BB2AAE"/>
    <w:rsid w:val="00BB2BBC"/>
    <w:rsid w:val="00BB2C38"/>
    <w:rsid w:val="00BB36FF"/>
    <w:rsid w:val="00BB4C04"/>
    <w:rsid w:val="00BB5EE1"/>
    <w:rsid w:val="00BB60A3"/>
    <w:rsid w:val="00BB69A5"/>
    <w:rsid w:val="00BB7C0A"/>
    <w:rsid w:val="00BC01D8"/>
    <w:rsid w:val="00BC0341"/>
    <w:rsid w:val="00BC0F47"/>
    <w:rsid w:val="00BC1861"/>
    <w:rsid w:val="00BC2B04"/>
    <w:rsid w:val="00BC405F"/>
    <w:rsid w:val="00BC50ED"/>
    <w:rsid w:val="00BC59AF"/>
    <w:rsid w:val="00BC7235"/>
    <w:rsid w:val="00BD3A5A"/>
    <w:rsid w:val="00BD4429"/>
    <w:rsid w:val="00BD4C3D"/>
    <w:rsid w:val="00BD534C"/>
    <w:rsid w:val="00BD55EC"/>
    <w:rsid w:val="00BD5938"/>
    <w:rsid w:val="00BD5A0F"/>
    <w:rsid w:val="00BD636F"/>
    <w:rsid w:val="00BD63AC"/>
    <w:rsid w:val="00BD7050"/>
    <w:rsid w:val="00BD7A60"/>
    <w:rsid w:val="00BE0298"/>
    <w:rsid w:val="00BE0AAA"/>
    <w:rsid w:val="00BE2561"/>
    <w:rsid w:val="00BE29A8"/>
    <w:rsid w:val="00BE2F20"/>
    <w:rsid w:val="00BE2FED"/>
    <w:rsid w:val="00BE386F"/>
    <w:rsid w:val="00BE3BFF"/>
    <w:rsid w:val="00BE3D13"/>
    <w:rsid w:val="00BE4F85"/>
    <w:rsid w:val="00BE75A4"/>
    <w:rsid w:val="00BF00D0"/>
    <w:rsid w:val="00BF00D2"/>
    <w:rsid w:val="00BF0244"/>
    <w:rsid w:val="00BF0CD8"/>
    <w:rsid w:val="00BF16A8"/>
    <w:rsid w:val="00BF3CF9"/>
    <w:rsid w:val="00BF4046"/>
    <w:rsid w:val="00BF489F"/>
    <w:rsid w:val="00BF4D28"/>
    <w:rsid w:val="00BF5260"/>
    <w:rsid w:val="00BF53F9"/>
    <w:rsid w:val="00BF6814"/>
    <w:rsid w:val="00BF692B"/>
    <w:rsid w:val="00C03E1B"/>
    <w:rsid w:val="00C0530A"/>
    <w:rsid w:val="00C064D6"/>
    <w:rsid w:val="00C06632"/>
    <w:rsid w:val="00C1184B"/>
    <w:rsid w:val="00C13CEF"/>
    <w:rsid w:val="00C14C32"/>
    <w:rsid w:val="00C1539E"/>
    <w:rsid w:val="00C156B1"/>
    <w:rsid w:val="00C162FC"/>
    <w:rsid w:val="00C16422"/>
    <w:rsid w:val="00C1760F"/>
    <w:rsid w:val="00C17DE7"/>
    <w:rsid w:val="00C2053B"/>
    <w:rsid w:val="00C2065F"/>
    <w:rsid w:val="00C214E3"/>
    <w:rsid w:val="00C2279C"/>
    <w:rsid w:val="00C22AB4"/>
    <w:rsid w:val="00C22EAE"/>
    <w:rsid w:val="00C23020"/>
    <w:rsid w:val="00C25160"/>
    <w:rsid w:val="00C25CEB"/>
    <w:rsid w:val="00C26436"/>
    <w:rsid w:val="00C26A08"/>
    <w:rsid w:val="00C279E3"/>
    <w:rsid w:val="00C3003D"/>
    <w:rsid w:val="00C30203"/>
    <w:rsid w:val="00C303B7"/>
    <w:rsid w:val="00C32CBA"/>
    <w:rsid w:val="00C33BA4"/>
    <w:rsid w:val="00C34914"/>
    <w:rsid w:val="00C35127"/>
    <w:rsid w:val="00C35913"/>
    <w:rsid w:val="00C35B04"/>
    <w:rsid w:val="00C36F47"/>
    <w:rsid w:val="00C36F62"/>
    <w:rsid w:val="00C375DB"/>
    <w:rsid w:val="00C37616"/>
    <w:rsid w:val="00C37BD6"/>
    <w:rsid w:val="00C40169"/>
    <w:rsid w:val="00C41089"/>
    <w:rsid w:val="00C414BE"/>
    <w:rsid w:val="00C415D4"/>
    <w:rsid w:val="00C418BD"/>
    <w:rsid w:val="00C41B37"/>
    <w:rsid w:val="00C41CB9"/>
    <w:rsid w:val="00C42313"/>
    <w:rsid w:val="00C4243B"/>
    <w:rsid w:val="00C42A9A"/>
    <w:rsid w:val="00C43602"/>
    <w:rsid w:val="00C4402E"/>
    <w:rsid w:val="00C4512A"/>
    <w:rsid w:val="00C466A1"/>
    <w:rsid w:val="00C46C9D"/>
    <w:rsid w:val="00C46D1D"/>
    <w:rsid w:val="00C4772F"/>
    <w:rsid w:val="00C47BD4"/>
    <w:rsid w:val="00C50F0F"/>
    <w:rsid w:val="00C51646"/>
    <w:rsid w:val="00C51CBD"/>
    <w:rsid w:val="00C52163"/>
    <w:rsid w:val="00C527D9"/>
    <w:rsid w:val="00C540F5"/>
    <w:rsid w:val="00C54277"/>
    <w:rsid w:val="00C546B4"/>
    <w:rsid w:val="00C5697F"/>
    <w:rsid w:val="00C56DDA"/>
    <w:rsid w:val="00C57601"/>
    <w:rsid w:val="00C57B1F"/>
    <w:rsid w:val="00C60D70"/>
    <w:rsid w:val="00C61BD9"/>
    <w:rsid w:val="00C62950"/>
    <w:rsid w:val="00C62A0A"/>
    <w:rsid w:val="00C634DC"/>
    <w:rsid w:val="00C634E8"/>
    <w:rsid w:val="00C6369F"/>
    <w:rsid w:val="00C638A8"/>
    <w:rsid w:val="00C63908"/>
    <w:rsid w:val="00C63C7D"/>
    <w:rsid w:val="00C650E5"/>
    <w:rsid w:val="00C6542F"/>
    <w:rsid w:val="00C65731"/>
    <w:rsid w:val="00C65B1C"/>
    <w:rsid w:val="00C67D70"/>
    <w:rsid w:val="00C71F41"/>
    <w:rsid w:val="00C75195"/>
    <w:rsid w:val="00C75984"/>
    <w:rsid w:val="00C766DB"/>
    <w:rsid w:val="00C76A68"/>
    <w:rsid w:val="00C80303"/>
    <w:rsid w:val="00C81486"/>
    <w:rsid w:val="00C82EEC"/>
    <w:rsid w:val="00C83242"/>
    <w:rsid w:val="00C83418"/>
    <w:rsid w:val="00C838DB"/>
    <w:rsid w:val="00C84439"/>
    <w:rsid w:val="00C85D60"/>
    <w:rsid w:val="00C85E19"/>
    <w:rsid w:val="00C85FD4"/>
    <w:rsid w:val="00C86379"/>
    <w:rsid w:val="00C86D4D"/>
    <w:rsid w:val="00C87D59"/>
    <w:rsid w:val="00C91931"/>
    <w:rsid w:val="00C9301F"/>
    <w:rsid w:val="00C943A4"/>
    <w:rsid w:val="00C943C3"/>
    <w:rsid w:val="00C94658"/>
    <w:rsid w:val="00C94F6B"/>
    <w:rsid w:val="00C954AF"/>
    <w:rsid w:val="00C95EB3"/>
    <w:rsid w:val="00C9683B"/>
    <w:rsid w:val="00C9729D"/>
    <w:rsid w:val="00CA00B4"/>
    <w:rsid w:val="00CA0B1C"/>
    <w:rsid w:val="00CA251D"/>
    <w:rsid w:val="00CA37C4"/>
    <w:rsid w:val="00CA37DC"/>
    <w:rsid w:val="00CA4EEA"/>
    <w:rsid w:val="00CA5220"/>
    <w:rsid w:val="00CA5587"/>
    <w:rsid w:val="00CA5AE4"/>
    <w:rsid w:val="00CA67ED"/>
    <w:rsid w:val="00CA6842"/>
    <w:rsid w:val="00CA69A8"/>
    <w:rsid w:val="00CA6C5E"/>
    <w:rsid w:val="00CA734B"/>
    <w:rsid w:val="00CA7ABA"/>
    <w:rsid w:val="00CB02DA"/>
    <w:rsid w:val="00CB0DC7"/>
    <w:rsid w:val="00CB1B10"/>
    <w:rsid w:val="00CB32B3"/>
    <w:rsid w:val="00CB3B66"/>
    <w:rsid w:val="00CB42A5"/>
    <w:rsid w:val="00CB49F1"/>
    <w:rsid w:val="00CB541B"/>
    <w:rsid w:val="00CB6610"/>
    <w:rsid w:val="00CB6E92"/>
    <w:rsid w:val="00CB7158"/>
    <w:rsid w:val="00CB7B50"/>
    <w:rsid w:val="00CC0F60"/>
    <w:rsid w:val="00CC2209"/>
    <w:rsid w:val="00CC2367"/>
    <w:rsid w:val="00CC242D"/>
    <w:rsid w:val="00CC35EA"/>
    <w:rsid w:val="00CC3E05"/>
    <w:rsid w:val="00CC5299"/>
    <w:rsid w:val="00CC565E"/>
    <w:rsid w:val="00CC5FA8"/>
    <w:rsid w:val="00CC63B3"/>
    <w:rsid w:val="00CC6B4B"/>
    <w:rsid w:val="00CC73EC"/>
    <w:rsid w:val="00CC7902"/>
    <w:rsid w:val="00CD0D0B"/>
    <w:rsid w:val="00CD1B07"/>
    <w:rsid w:val="00CD3EDE"/>
    <w:rsid w:val="00CD4133"/>
    <w:rsid w:val="00CD42A6"/>
    <w:rsid w:val="00CD4A5F"/>
    <w:rsid w:val="00CD4F6B"/>
    <w:rsid w:val="00CD53A4"/>
    <w:rsid w:val="00CD6A65"/>
    <w:rsid w:val="00CD7099"/>
    <w:rsid w:val="00CE0076"/>
    <w:rsid w:val="00CE008D"/>
    <w:rsid w:val="00CE05A2"/>
    <w:rsid w:val="00CE0A37"/>
    <w:rsid w:val="00CE179D"/>
    <w:rsid w:val="00CE1DDC"/>
    <w:rsid w:val="00CE2469"/>
    <w:rsid w:val="00CE24E1"/>
    <w:rsid w:val="00CE2A62"/>
    <w:rsid w:val="00CE32CC"/>
    <w:rsid w:val="00CE33AB"/>
    <w:rsid w:val="00CE44B1"/>
    <w:rsid w:val="00CE4ED8"/>
    <w:rsid w:val="00CE51CB"/>
    <w:rsid w:val="00CE6534"/>
    <w:rsid w:val="00CE7169"/>
    <w:rsid w:val="00CE7BA0"/>
    <w:rsid w:val="00CE7C32"/>
    <w:rsid w:val="00CF0CB1"/>
    <w:rsid w:val="00CF0F17"/>
    <w:rsid w:val="00CF146E"/>
    <w:rsid w:val="00CF2453"/>
    <w:rsid w:val="00CF2AE9"/>
    <w:rsid w:val="00CF3C2D"/>
    <w:rsid w:val="00CF3E35"/>
    <w:rsid w:val="00CF6AAF"/>
    <w:rsid w:val="00D0090E"/>
    <w:rsid w:val="00D00B5E"/>
    <w:rsid w:val="00D00E91"/>
    <w:rsid w:val="00D021A9"/>
    <w:rsid w:val="00D03CE7"/>
    <w:rsid w:val="00D05070"/>
    <w:rsid w:val="00D054D3"/>
    <w:rsid w:val="00D06027"/>
    <w:rsid w:val="00D0781A"/>
    <w:rsid w:val="00D07F99"/>
    <w:rsid w:val="00D103BC"/>
    <w:rsid w:val="00D10C9F"/>
    <w:rsid w:val="00D10DC4"/>
    <w:rsid w:val="00D128B4"/>
    <w:rsid w:val="00D12CD3"/>
    <w:rsid w:val="00D13F06"/>
    <w:rsid w:val="00D14172"/>
    <w:rsid w:val="00D14CCB"/>
    <w:rsid w:val="00D15893"/>
    <w:rsid w:val="00D1589E"/>
    <w:rsid w:val="00D158BE"/>
    <w:rsid w:val="00D15910"/>
    <w:rsid w:val="00D15A3C"/>
    <w:rsid w:val="00D16383"/>
    <w:rsid w:val="00D174C1"/>
    <w:rsid w:val="00D17BDF"/>
    <w:rsid w:val="00D204E0"/>
    <w:rsid w:val="00D2160C"/>
    <w:rsid w:val="00D219FE"/>
    <w:rsid w:val="00D21D96"/>
    <w:rsid w:val="00D229AB"/>
    <w:rsid w:val="00D22A17"/>
    <w:rsid w:val="00D22F22"/>
    <w:rsid w:val="00D23EA7"/>
    <w:rsid w:val="00D248BA"/>
    <w:rsid w:val="00D24D8A"/>
    <w:rsid w:val="00D25702"/>
    <w:rsid w:val="00D265EC"/>
    <w:rsid w:val="00D268AC"/>
    <w:rsid w:val="00D30453"/>
    <w:rsid w:val="00D30508"/>
    <w:rsid w:val="00D312E1"/>
    <w:rsid w:val="00D327FF"/>
    <w:rsid w:val="00D3307D"/>
    <w:rsid w:val="00D33E86"/>
    <w:rsid w:val="00D34594"/>
    <w:rsid w:val="00D34EC3"/>
    <w:rsid w:val="00D354AF"/>
    <w:rsid w:val="00D35ED6"/>
    <w:rsid w:val="00D36F1B"/>
    <w:rsid w:val="00D37349"/>
    <w:rsid w:val="00D427D8"/>
    <w:rsid w:val="00D4378A"/>
    <w:rsid w:val="00D43DD3"/>
    <w:rsid w:val="00D44D9B"/>
    <w:rsid w:val="00D45C22"/>
    <w:rsid w:val="00D47099"/>
    <w:rsid w:val="00D5604E"/>
    <w:rsid w:val="00D56989"/>
    <w:rsid w:val="00D56EA0"/>
    <w:rsid w:val="00D5705E"/>
    <w:rsid w:val="00D5711E"/>
    <w:rsid w:val="00D5726E"/>
    <w:rsid w:val="00D57723"/>
    <w:rsid w:val="00D57A89"/>
    <w:rsid w:val="00D60131"/>
    <w:rsid w:val="00D605A7"/>
    <w:rsid w:val="00D630C3"/>
    <w:rsid w:val="00D634C2"/>
    <w:rsid w:val="00D6382A"/>
    <w:rsid w:val="00D63DEA"/>
    <w:rsid w:val="00D63FCE"/>
    <w:rsid w:val="00D642B0"/>
    <w:rsid w:val="00D67105"/>
    <w:rsid w:val="00D70870"/>
    <w:rsid w:val="00D718E6"/>
    <w:rsid w:val="00D72670"/>
    <w:rsid w:val="00D732C3"/>
    <w:rsid w:val="00D735C9"/>
    <w:rsid w:val="00D735FC"/>
    <w:rsid w:val="00D73FC9"/>
    <w:rsid w:val="00D74F98"/>
    <w:rsid w:val="00D75EDC"/>
    <w:rsid w:val="00D7682A"/>
    <w:rsid w:val="00D7705F"/>
    <w:rsid w:val="00D80060"/>
    <w:rsid w:val="00D815EE"/>
    <w:rsid w:val="00D82E0C"/>
    <w:rsid w:val="00D84AC7"/>
    <w:rsid w:val="00D856E6"/>
    <w:rsid w:val="00D862B0"/>
    <w:rsid w:val="00D86DF0"/>
    <w:rsid w:val="00D87B32"/>
    <w:rsid w:val="00D87D70"/>
    <w:rsid w:val="00D909CE"/>
    <w:rsid w:val="00D92A89"/>
    <w:rsid w:val="00D92B6A"/>
    <w:rsid w:val="00D93423"/>
    <w:rsid w:val="00D9458F"/>
    <w:rsid w:val="00D94BC2"/>
    <w:rsid w:val="00D953A1"/>
    <w:rsid w:val="00D96050"/>
    <w:rsid w:val="00D97721"/>
    <w:rsid w:val="00DA0B03"/>
    <w:rsid w:val="00DA0BA9"/>
    <w:rsid w:val="00DA0F33"/>
    <w:rsid w:val="00DA1C0D"/>
    <w:rsid w:val="00DA277D"/>
    <w:rsid w:val="00DA5227"/>
    <w:rsid w:val="00DA7D17"/>
    <w:rsid w:val="00DB156A"/>
    <w:rsid w:val="00DB251F"/>
    <w:rsid w:val="00DB2609"/>
    <w:rsid w:val="00DB28E2"/>
    <w:rsid w:val="00DB456B"/>
    <w:rsid w:val="00DB4F0D"/>
    <w:rsid w:val="00DB53CA"/>
    <w:rsid w:val="00DB5AF2"/>
    <w:rsid w:val="00DB5DD3"/>
    <w:rsid w:val="00DB6074"/>
    <w:rsid w:val="00DB68C0"/>
    <w:rsid w:val="00DB7DDA"/>
    <w:rsid w:val="00DC066D"/>
    <w:rsid w:val="00DC09CD"/>
    <w:rsid w:val="00DC148F"/>
    <w:rsid w:val="00DC19BA"/>
    <w:rsid w:val="00DC32F7"/>
    <w:rsid w:val="00DC364C"/>
    <w:rsid w:val="00DC489D"/>
    <w:rsid w:val="00DC50E7"/>
    <w:rsid w:val="00DC727E"/>
    <w:rsid w:val="00DD2DFE"/>
    <w:rsid w:val="00DD3675"/>
    <w:rsid w:val="00DD5086"/>
    <w:rsid w:val="00DD60E9"/>
    <w:rsid w:val="00DD62BF"/>
    <w:rsid w:val="00DD6A35"/>
    <w:rsid w:val="00DD78D0"/>
    <w:rsid w:val="00DE0466"/>
    <w:rsid w:val="00DE0666"/>
    <w:rsid w:val="00DE13D1"/>
    <w:rsid w:val="00DE1543"/>
    <w:rsid w:val="00DE29BE"/>
    <w:rsid w:val="00DE2F9E"/>
    <w:rsid w:val="00DE3DFA"/>
    <w:rsid w:val="00DE3E19"/>
    <w:rsid w:val="00DE4936"/>
    <w:rsid w:val="00DE62F2"/>
    <w:rsid w:val="00DE644B"/>
    <w:rsid w:val="00DE6999"/>
    <w:rsid w:val="00DE7DAD"/>
    <w:rsid w:val="00DF05F2"/>
    <w:rsid w:val="00DF0799"/>
    <w:rsid w:val="00DF0AE1"/>
    <w:rsid w:val="00DF113A"/>
    <w:rsid w:val="00DF1480"/>
    <w:rsid w:val="00DF1549"/>
    <w:rsid w:val="00DF32A7"/>
    <w:rsid w:val="00DF33D7"/>
    <w:rsid w:val="00DF3F74"/>
    <w:rsid w:val="00DF4E67"/>
    <w:rsid w:val="00DF6512"/>
    <w:rsid w:val="00DF65FC"/>
    <w:rsid w:val="00DF7094"/>
    <w:rsid w:val="00E00D5E"/>
    <w:rsid w:val="00E01279"/>
    <w:rsid w:val="00E01655"/>
    <w:rsid w:val="00E04AEE"/>
    <w:rsid w:val="00E057A9"/>
    <w:rsid w:val="00E060BB"/>
    <w:rsid w:val="00E069EA"/>
    <w:rsid w:val="00E06D18"/>
    <w:rsid w:val="00E074ED"/>
    <w:rsid w:val="00E07FAC"/>
    <w:rsid w:val="00E1036A"/>
    <w:rsid w:val="00E1280C"/>
    <w:rsid w:val="00E1407C"/>
    <w:rsid w:val="00E15502"/>
    <w:rsid w:val="00E1612D"/>
    <w:rsid w:val="00E16A4A"/>
    <w:rsid w:val="00E16C33"/>
    <w:rsid w:val="00E16E05"/>
    <w:rsid w:val="00E21705"/>
    <w:rsid w:val="00E22ED1"/>
    <w:rsid w:val="00E235E0"/>
    <w:rsid w:val="00E2444A"/>
    <w:rsid w:val="00E25733"/>
    <w:rsid w:val="00E27CF7"/>
    <w:rsid w:val="00E304E9"/>
    <w:rsid w:val="00E31D15"/>
    <w:rsid w:val="00E320D7"/>
    <w:rsid w:val="00E3228D"/>
    <w:rsid w:val="00E32CB1"/>
    <w:rsid w:val="00E33096"/>
    <w:rsid w:val="00E33CC9"/>
    <w:rsid w:val="00E33E84"/>
    <w:rsid w:val="00E34AF2"/>
    <w:rsid w:val="00E36248"/>
    <w:rsid w:val="00E36650"/>
    <w:rsid w:val="00E368CA"/>
    <w:rsid w:val="00E40F22"/>
    <w:rsid w:val="00E426DE"/>
    <w:rsid w:val="00E4278F"/>
    <w:rsid w:val="00E43B8E"/>
    <w:rsid w:val="00E43F87"/>
    <w:rsid w:val="00E45623"/>
    <w:rsid w:val="00E45B54"/>
    <w:rsid w:val="00E467CA"/>
    <w:rsid w:val="00E46CAD"/>
    <w:rsid w:val="00E50E1E"/>
    <w:rsid w:val="00E511C6"/>
    <w:rsid w:val="00E530BF"/>
    <w:rsid w:val="00E538DA"/>
    <w:rsid w:val="00E5444F"/>
    <w:rsid w:val="00E54D6A"/>
    <w:rsid w:val="00E5524E"/>
    <w:rsid w:val="00E561EB"/>
    <w:rsid w:val="00E57391"/>
    <w:rsid w:val="00E57CFA"/>
    <w:rsid w:val="00E60061"/>
    <w:rsid w:val="00E601BA"/>
    <w:rsid w:val="00E60A40"/>
    <w:rsid w:val="00E60EA7"/>
    <w:rsid w:val="00E61347"/>
    <w:rsid w:val="00E6183A"/>
    <w:rsid w:val="00E61F65"/>
    <w:rsid w:val="00E62EDA"/>
    <w:rsid w:val="00E63682"/>
    <w:rsid w:val="00E6389B"/>
    <w:rsid w:val="00E63994"/>
    <w:rsid w:val="00E6465A"/>
    <w:rsid w:val="00E647F6"/>
    <w:rsid w:val="00E6613A"/>
    <w:rsid w:val="00E664CE"/>
    <w:rsid w:val="00E710A6"/>
    <w:rsid w:val="00E71523"/>
    <w:rsid w:val="00E7157F"/>
    <w:rsid w:val="00E720D8"/>
    <w:rsid w:val="00E7213D"/>
    <w:rsid w:val="00E739AB"/>
    <w:rsid w:val="00E745CE"/>
    <w:rsid w:val="00E74A16"/>
    <w:rsid w:val="00E75073"/>
    <w:rsid w:val="00E750C3"/>
    <w:rsid w:val="00E757AF"/>
    <w:rsid w:val="00E75B5A"/>
    <w:rsid w:val="00E75DA9"/>
    <w:rsid w:val="00E76350"/>
    <w:rsid w:val="00E77FDF"/>
    <w:rsid w:val="00E8069F"/>
    <w:rsid w:val="00E8459D"/>
    <w:rsid w:val="00E84D0B"/>
    <w:rsid w:val="00E8513F"/>
    <w:rsid w:val="00E860E4"/>
    <w:rsid w:val="00E87178"/>
    <w:rsid w:val="00E8738E"/>
    <w:rsid w:val="00E87722"/>
    <w:rsid w:val="00E8782C"/>
    <w:rsid w:val="00E90341"/>
    <w:rsid w:val="00E91B01"/>
    <w:rsid w:val="00E92BBD"/>
    <w:rsid w:val="00E92CC1"/>
    <w:rsid w:val="00E92F1C"/>
    <w:rsid w:val="00E939A8"/>
    <w:rsid w:val="00E94FAB"/>
    <w:rsid w:val="00E964DD"/>
    <w:rsid w:val="00E96829"/>
    <w:rsid w:val="00E97727"/>
    <w:rsid w:val="00EA2488"/>
    <w:rsid w:val="00EA3146"/>
    <w:rsid w:val="00EA3709"/>
    <w:rsid w:val="00EA3884"/>
    <w:rsid w:val="00EA401A"/>
    <w:rsid w:val="00EA443D"/>
    <w:rsid w:val="00EA5089"/>
    <w:rsid w:val="00EA52FA"/>
    <w:rsid w:val="00EA5707"/>
    <w:rsid w:val="00EA5ED6"/>
    <w:rsid w:val="00EB039F"/>
    <w:rsid w:val="00EB07BB"/>
    <w:rsid w:val="00EB0853"/>
    <w:rsid w:val="00EB1039"/>
    <w:rsid w:val="00EB1655"/>
    <w:rsid w:val="00EB24B2"/>
    <w:rsid w:val="00EB42D6"/>
    <w:rsid w:val="00EB4E48"/>
    <w:rsid w:val="00EC00E2"/>
    <w:rsid w:val="00EC0112"/>
    <w:rsid w:val="00EC138B"/>
    <w:rsid w:val="00EC27B3"/>
    <w:rsid w:val="00EC2E65"/>
    <w:rsid w:val="00EC3F02"/>
    <w:rsid w:val="00EC4962"/>
    <w:rsid w:val="00EC5204"/>
    <w:rsid w:val="00EC5588"/>
    <w:rsid w:val="00EC58A5"/>
    <w:rsid w:val="00EC5ADB"/>
    <w:rsid w:val="00EC6689"/>
    <w:rsid w:val="00ED0199"/>
    <w:rsid w:val="00ED17D1"/>
    <w:rsid w:val="00ED210A"/>
    <w:rsid w:val="00ED4734"/>
    <w:rsid w:val="00ED48E0"/>
    <w:rsid w:val="00ED5DCE"/>
    <w:rsid w:val="00ED623C"/>
    <w:rsid w:val="00ED7BA1"/>
    <w:rsid w:val="00EE02EF"/>
    <w:rsid w:val="00EE2F02"/>
    <w:rsid w:val="00EE3A38"/>
    <w:rsid w:val="00EE3CF4"/>
    <w:rsid w:val="00EE403C"/>
    <w:rsid w:val="00EE457A"/>
    <w:rsid w:val="00EE4A17"/>
    <w:rsid w:val="00EE4B7A"/>
    <w:rsid w:val="00EE5D4B"/>
    <w:rsid w:val="00EE6575"/>
    <w:rsid w:val="00EE681D"/>
    <w:rsid w:val="00EE7D44"/>
    <w:rsid w:val="00EF00B9"/>
    <w:rsid w:val="00EF05D0"/>
    <w:rsid w:val="00EF0961"/>
    <w:rsid w:val="00EF0D80"/>
    <w:rsid w:val="00EF16C8"/>
    <w:rsid w:val="00EF1839"/>
    <w:rsid w:val="00EF21AD"/>
    <w:rsid w:val="00EF2E7C"/>
    <w:rsid w:val="00EF30F4"/>
    <w:rsid w:val="00EF3619"/>
    <w:rsid w:val="00EF448A"/>
    <w:rsid w:val="00EF44E8"/>
    <w:rsid w:val="00EF502C"/>
    <w:rsid w:val="00EF5301"/>
    <w:rsid w:val="00EF5921"/>
    <w:rsid w:val="00F01BE1"/>
    <w:rsid w:val="00F01C37"/>
    <w:rsid w:val="00F01F09"/>
    <w:rsid w:val="00F02D53"/>
    <w:rsid w:val="00F04AC4"/>
    <w:rsid w:val="00F05456"/>
    <w:rsid w:val="00F059E5"/>
    <w:rsid w:val="00F06E99"/>
    <w:rsid w:val="00F0716E"/>
    <w:rsid w:val="00F072A9"/>
    <w:rsid w:val="00F07429"/>
    <w:rsid w:val="00F07AC3"/>
    <w:rsid w:val="00F105B7"/>
    <w:rsid w:val="00F10B83"/>
    <w:rsid w:val="00F1259D"/>
    <w:rsid w:val="00F12669"/>
    <w:rsid w:val="00F129E8"/>
    <w:rsid w:val="00F138F6"/>
    <w:rsid w:val="00F13937"/>
    <w:rsid w:val="00F143D4"/>
    <w:rsid w:val="00F14B8F"/>
    <w:rsid w:val="00F165CB"/>
    <w:rsid w:val="00F16C35"/>
    <w:rsid w:val="00F17970"/>
    <w:rsid w:val="00F20086"/>
    <w:rsid w:val="00F2012F"/>
    <w:rsid w:val="00F206F3"/>
    <w:rsid w:val="00F21329"/>
    <w:rsid w:val="00F217F8"/>
    <w:rsid w:val="00F219B5"/>
    <w:rsid w:val="00F227F7"/>
    <w:rsid w:val="00F23355"/>
    <w:rsid w:val="00F23C46"/>
    <w:rsid w:val="00F250AB"/>
    <w:rsid w:val="00F250CC"/>
    <w:rsid w:val="00F260FC"/>
    <w:rsid w:val="00F26261"/>
    <w:rsid w:val="00F26902"/>
    <w:rsid w:val="00F272B6"/>
    <w:rsid w:val="00F275FA"/>
    <w:rsid w:val="00F3306C"/>
    <w:rsid w:val="00F33392"/>
    <w:rsid w:val="00F35EB1"/>
    <w:rsid w:val="00F36031"/>
    <w:rsid w:val="00F367DB"/>
    <w:rsid w:val="00F37375"/>
    <w:rsid w:val="00F37563"/>
    <w:rsid w:val="00F41765"/>
    <w:rsid w:val="00F428C0"/>
    <w:rsid w:val="00F429B1"/>
    <w:rsid w:val="00F434D8"/>
    <w:rsid w:val="00F4361E"/>
    <w:rsid w:val="00F43CA6"/>
    <w:rsid w:val="00F43DEC"/>
    <w:rsid w:val="00F43EF1"/>
    <w:rsid w:val="00F44229"/>
    <w:rsid w:val="00F4512B"/>
    <w:rsid w:val="00F4683C"/>
    <w:rsid w:val="00F46C13"/>
    <w:rsid w:val="00F47A58"/>
    <w:rsid w:val="00F502A1"/>
    <w:rsid w:val="00F5078B"/>
    <w:rsid w:val="00F50F30"/>
    <w:rsid w:val="00F50FAF"/>
    <w:rsid w:val="00F511CA"/>
    <w:rsid w:val="00F5149B"/>
    <w:rsid w:val="00F517F4"/>
    <w:rsid w:val="00F52735"/>
    <w:rsid w:val="00F5288D"/>
    <w:rsid w:val="00F534A1"/>
    <w:rsid w:val="00F54573"/>
    <w:rsid w:val="00F54AD7"/>
    <w:rsid w:val="00F552F9"/>
    <w:rsid w:val="00F55E3E"/>
    <w:rsid w:val="00F5613F"/>
    <w:rsid w:val="00F579D8"/>
    <w:rsid w:val="00F57C73"/>
    <w:rsid w:val="00F60956"/>
    <w:rsid w:val="00F61D6B"/>
    <w:rsid w:val="00F6281E"/>
    <w:rsid w:val="00F62E9B"/>
    <w:rsid w:val="00F63971"/>
    <w:rsid w:val="00F640B6"/>
    <w:rsid w:val="00F64789"/>
    <w:rsid w:val="00F65366"/>
    <w:rsid w:val="00F6544C"/>
    <w:rsid w:val="00F65BB7"/>
    <w:rsid w:val="00F66EF7"/>
    <w:rsid w:val="00F67A43"/>
    <w:rsid w:val="00F70170"/>
    <w:rsid w:val="00F70C62"/>
    <w:rsid w:val="00F70CD7"/>
    <w:rsid w:val="00F7312B"/>
    <w:rsid w:val="00F734FC"/>
    <w:rsid w:val="00F74FA9"/>
    <w:rsid w:val="00F7521C"/>
    <w:rsid w:val="00F75494"/>
    <w:rsid w:val="00F75775"/>
    <w:rsid w:val="00F75B50"/>
    <w:rsid w:val="00F8078D"/>
    <w:rsid w:val="00F813E7"/>
    <w:rsid w:val="00F81567"/>
    <w:rsid w:val="00F81DF8"/>
    <w:rsid w:val="00F820CC"/>
    <w:rsid w:val="00F82C59"/>
    <w:rsid w:val="00F82E9C"/>
    <w:rsid w:val="00F8310F"/>
    <w:rsid w:val="00F84699"/>
    <w:rsid w:val="00F85ED5"/>
    <w:rsid w:val="00F879DC"/>
    <w:rsid w:val="00F87A9D"/>
    <w:rsid w:val="00F87C61"/>
    <w:rsid w:val="00F87F09"/>
    <w:rsid w:val="00F87F2B"/>
    <w:rsid w:val="00F9008F"/>
    <w:rsid w:val="00F923F4"/>
    <w:rsid w:val="00F933DC"/>
    <w:rsid w:val="00F94508"/>
    <w:rsid w:val="00F95325"/>
    <w:rsid w:val="00F961D5"/>
    <w:rsid w:val="00F9633C"/>
    <w:rsid w:val="00F96EED"/>
    <w:rsid w:val="00FA03F3"/>
    <w:rsid w:val="00FA15AD"/>
    <w:rsid w:val="00FA1FE7"/>
    <w:rsid w:val="00FA23AA"/>
    <w:rsid w:val="00FA2F54"/>
    <w:rsid w:val="00FA3A2D"/>
    <w:rsid w:val="00FA5D02"/>
    <w:rsid w:val="00FA61DA"/>
    <w:rsid w:val="00FA62D0"/>
    <w:rsid w:val="00FA6392"/>
    <w:rsid w:val="00FA6417"/>
    <w:rsid w:val="00FA6876"/>
    <w:rsid w:val="00FA7A0B"/>
    <w:rsid w:val="00FA7B46"/>
    <w:rsid w:val="00FB0118"/>
    <w:rsid w:val="00FB0B36"/>
    <w:rsid w:val="00FB14C4"/>
    <w:rsid w:val="00FB18C8"/>
    <w:rsid w:val="00FB22E3"/>
    <w:rsid w:val="00FB254A"/>
    <w:rsid w:val="00FB27FC"/>
    <w:rsid w:val="00FB2AFC"/>
    <w:rsid w:val="00FB3652"/>
    <w:rsid w:val="00FB3C45"/>
    <w:rsid w:val="00FB3FAF"/>
    <w:rsid w:val="00FB4240"/>
    <w:rsid w:val="00FB5015"/>
    <w:rsid w:val="00FB5636"/>
    <w:rsid w:val="00FB5F72"/>
    <w:rsid w:val="00FB632D"/>
    <w:rsid w:val="00FB681C"/>
    <w:rsid w:val="00FC03E7"/>
    <w:rsid w:val="00FC0E2C"/>
    <w:rsid w:val="00FC3EA3"/>
    <w:rsid w:val="00FC5DDD"/>
    <w:rsid w:val="00FC696A"/>
    <w:rsid w:val="00FC6E7B"/>
    <w:rsid w:val="00FC70B7"/>
    <w:rsid w:val="00FD19E3"/>
    <w:rsid w:val="00FD1ABD"/>
    <w:rsid w:val="00FD4BA7"/>
    <w:rsid w:val="00FD54B4"/>
    <w:rsid w:val="00FD645D"/>
    <w:rsid w:val="00FD76FB"/>
    <w:rsid w:val="00FE017E"/>
    <w:rsid w:val="00FE0D28"/>
    <w:rsid w:val="00FE29C2"/>
    <w:rsid w:val="00FE322E"/>
    <w:rsid w:val="00FE3FAC"/>
    <w:rsid w:val="00FE568A"/>
    <w:rsid w:val="00FE71E9"/>
    <w:rsid w:val="00FF09BE"/>
    <w:rsid w:val="00FF0AD4"/>
    <w:rsid w:val="00FF1B01"/>
    <w:rsid w:val="00FF2321"/>
    <w:rsid w:val="00FF28AD"/>
    <w:rsid w:val="00FF3708"/>
    <w:rsid w:val="00FF58D0"/>
    <w:rsid w:val="00FF6A6F"/>
    <w:rsid w:val="00FF74FB"/>
    <w:rsid w:val="01A60ADF"/>
    <w:rsid w:val="01BA61B0"/>
    <w:rsid w:val="031E3E76"/>
    <w:rsid w:val="03AF1289"/>
    <w:rsid w:val="04D740B2"/>
    <w:rsid w:val="05E90D07"/>
    <w:rsid w:val="09825594"/>
    <w:rsid w:val="09BB29A8"/>
    <w:rsid w:val="0AE231E0"/>
    <w:rsid w:val="0AE75B3C"/>
    <w:rsid w:val="0B765E99"/>
    <w:rsid w:val="0B901788"/>
    <w:rsid w:val="0B902AC1"/>
    <w:rsid w:val="0C094AA0"/>
    <w:rsid w:val="0CA75870"/>
    <w:rsid w:val="0D002EBD"/>
    <w:rsid w:val="0D011DF2"/>
    <w:rsid w:val="0F0657C9"/>
    <w:rsid w:val="0F966988"/>
    <w:rsid w:val="0FAC341D"/>
    <w:rsid w:val="102A44F8"/>
    <w:rsid w:val="1071278F"/>
    <w:rsid w:val="12185EDF"/>
    <w:rsid w:val="12E26E13"/>
    <w:rsid w:val="141730D2"/>
    <w:rsid w:val="158D7BB5"/>
    <w:rsid w:val="160B3656"/>
    <w:rsid w:val="160C7C21"/>
    <w:rsid w:val="1773398E"/>
    <w:rsid w:val="18074733"/>
    <w:rsid w:val="183F4632"/>
    <w:rsid w:val="185238DD"/>
    <w:rsid w:val="185D4530"/>
    <w:rsid w:val="186300A0"/>
    <w:rsid w:val="18AC5F95"/>
    <w:rsid w:val="18EC5062"/>
    <w:rsid w:val="19276850"/>
    <w:rsid w:val="19472F1E"/>
    <w:rsid w:val="19617A6F"/>
    <w:rsid w:val="19AD5F8A"/>
    <w:rsid w:val="1B8716F6"/>
    <w:rsid w:val="1C091875"/>
    <w:rsid w:val="1C13697D"/>
    <w:rsid w:val="1ED30596"/>
    <w:rsid w:val="205B316E"/>
    <w:rsid w:val="20AB7628"/>
    <w:rsid w:val="20D80CE1"/>
    <w:rsid w:val="21E162D6"/>
    <w:rsid w:val="25314DC0"/>
    <w:rsid w:val="25975387"/>
    <w:rsid w:val="25B957F1"/>
    <w:rsid w:val="26692FEA"/>
    <w:rsid w:val="27445AFC"/>
    <w:rsid w:val="278755B4"/>
    <w:rsid w:val="28EB59B7"/>
    <w:rsid w:val="28F90ABD"/>
    <w:rsid w:val="2A461136"/>
    <w:rsid w:val="2A8709EC"/>
    <w:rsid w:val="2B3063A7"/>
    <w:rsid w:val="2B892A0A"/>
    <w:rsid w:val="2BA32B99"/>
    <w:rsid w:val="2CA942AF"/>
    <w:rsid w:val="2CD34A58"/>
    <w:rsid w:val="2F0E2369"/>
    <w:rsid w:val="2F95460E"/>
    <w:rsid w:val="30CC66E0"/>
    <w:rsid w:val="31C079DC"/>
    <w:rsid w:val="31E24DF4"/>
    <w:rsid w:val="31F13EDE"/>
    <w:rsid w:val="32A24015"/>
    <w:rsid w:val="339627D9"/>
    <w:rsid w:val="342B3E19"/>
    <w:rsid w:val="34E94500"/>
    <w:rsid w:val="35BF3781"/>
    <w:rsid w:val="38991974"/>
    <w:rsid w:val="38BA2D63"/>
    <w:rsid w:val="38D50C3B"/>
    <w:rsid w:val="38DD7FCB"/>
    <w:rsid w:val="39454DCC"/>
    <w:rsid w:val="3A141D60"/>
    <w:rsid w:val="3A3E2897"/>
    <w:rsid w:val="3A876507"/>
    <w:rsid w:val="3B3F29F8"/>
    <w:rsid w:val="3CEB69AE"/>
    <w:rsid w:val="3DBF491E"/>
    <w:rsid w:val="3E2733BF"/>
    <w:rsid w:val="3E6801C7"/>
    <w:rsid w:val="3FB544A8"/>
    <w:rsid w:val="414D7107"/>
    <w:rsid w:val="41AE6C87"/>
    <w:rsid w:val="42290366"/>
    <w:rsid w:val="4292190E"/>
    <w:rsid w:val="42EA502A"/>
    <w:rsid w:val="438372CA"/>
    <w:rsid w:val="43845FEE"/>
    <w:rsid w:val="44CC25D1"/>
    <w:rsid w:val="44D845A9"/>
    <w:rsid w:val="44D86CD0"/>
    <w:rsid w:val="459B24FF"/>
    <w:rsid w:val="47632544"/>
    <w:rsid w:val="489D668F"/>
    <w:rsid w:val="490445E8"/>
    <w:rsid w:val="49994572"/>
    <w:rsid w:val="4A5A577D"/>
    <w:rsid w:val="4B00592F"/>
    <w:rsid w:val="4B447E66"/>
    <w:rsid w:val="4B8A22B0"/>
    <w:rsid w:val="4BB614E8"/>
    <w:rsid w:val="4BBC502E"/>
    <w:rsid w:val="4D21045F"/>
    <w:rsid w:val="4D2864CF"/>
    <w:rsid w:val="4D986247"/>
    <w:rsid w:val="4DF9154D"/>
    <w:rsid w:val="4E2D10E7"/>
    <w:rsid w:val="4E602215"/>
    <w:rsid w:val="4EED7D63"/>
    <w:rsid w:val="50E24B45"/>
    <w:rsid w:val="50E97DFE"/>
    <w:rsid w:val="52A433D8"/>
    <w:rsid w:val="53112445"/>
    <w:rsid w:val="54640DAB"/>
    <w:rsid w:val="54A71EC0"/>
    <w:rsid w:val="55E81184"/>
    <w:rsid w:val="5A296827"/>
    <w:rsid w:val="5AD47D0C"/>
    <w:rsid w:val="5B277C84"/>
    <w:rsid w:val="5B3806E1"/>
    <w:rsid w:val="5B7704DF"/>
    <w:rsid w:val="5B920A45"/>
    <w:rsid w:val="5BA1799D"/>
    <w:rsid w:val="5CB8717B"/>
    <w:rsid w:val="5D571C90"/>
    <w:rsid w:val="5D6704C7"/>
    <w:rsid w:val="5D914F4B"/>
    <w:rsid w:val="5DE15807"/>
    <w:rsid w:val="60326676"/>
    <w:rsid w:val="60347AEC"/>
    <w:rsid w:val="60460B65"/>
    <w:rsid w:val="609F1EA7"/>
    <w:rsid w:val="60A46A18"/>
    <w:rsid w:val="60ED7848"/>
    <w:rsid w:val="62A25E0E"/>
    <w:rsid w:val="63022B02"/>
    <w:rsid w:val="63697050"/>
    <w:rsid w:val="63B25929"/>
    <w:rsid w:val="64BC035E"/>
    <w:rsid w:val="64C15D66"/>
    <w:rsid w:val="66030D85"/>
    <w:rsid w:val="69F35FCA"/>
    <w:rsid w:val="6A3063B6"/>
    <w:rsid w:val="6A4C51B4"/>
    <w:rsid w:val="6AB62765"/>
    <w:rsid w:val="6ADA51E9"/>
    <w:rsid w:val="6BD85BD0"/>
    <w:rsid w:val="6C861E9C"/>
    <w:rsid w:val="6CC14518"/>
    <w:rsid w:val="6EA54ABF"/>
    <w:rsid w:val="6EF27D06"/>
    <w:rsid w:val="6F617AB1"/>
    <w:rsid w:val="70FD698B"/>
    <w:rsid w:val="71B73E38"/>
    <w:rsid w:val="73623059"/>
    <w:rsid w:val="757A60B2"/>
    <w:rsid w:val="75E66464"/>
    <w:rsid w:val="76675C4F"/>
    <w:rsid w:val="77300E60"/>
    <w:rsid w:val="77616383"/>
    <w:rsid w:val="776A1255"/>
    <w:rsid w:val="78077606"/>
    <w:rsid w:val="78C05A09"/>
    <w:rsid w:val="79795B7D"/>
    <w:rsid w:val="7B500D58"/>
    <w:rsid w:val="7B6C1B5F"/>
    <w:rsid w:val="7B8941A1"/>
    <w:rsid w:val="7BEC2742"/>
    <w:rsid w:val="7C7C5F9B"/>
    <w:rsid w:val="7C851554"/>
    <w:rsid w:val="7D9263DA"/>
    <w:rsid w:val="7DE42F19"/>
    <w:rsid w:val="7F3538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0" w:name="footnote text"/>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5">
    <w:name w:val="heading 2"/>
    <w:basedOn w:val="4"/>
    <w:next w:val="1"/>
    <w:qFormat/>
    <w:uiPriority w:val="0"/>
    <w:pPr>
      <w:spacing w:before="0" w:after="0" w:line="520" w:lineRule="exact"/>
      <w:ind w:firstLine="200" w:firstLineChars="200"/>
      <w:outlineLvl w:val="1"/>
    </w:pPr>
    <w:rPr>
      <w:rFonts w:ascii="Arial" w:hAnsi="Arial"/>
      <w:bCs w:val="0"/>
      <w:sz w:val="36"/>
      <w:szCs w:val="30"/>
    </w:rPr>
  </w:style>
  <w:style w:type="paragraph" w:styleId="6">
    <w:name w:val="heading 3"/>
    <w:basedOn w:val="5"/>
    <w:next w:val="1"/>
    <w:qFormat/>
    <w:uiPriority w:val="0"/>
    <w:pPr>
      <w:tabs>
        <w:tab w:val="left" w:pos="567"/>
      </w:tabs>
      <w:outlineLvl w:val="2"/>
    </w:pPr>
    <w:rPr>
      <w:rFonts w:eastAsia="仿宋"/>
      <w:sz w:val="32"/>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54"/>
    <w:qFormat/>
    <w:uiPriority w:val="0"/>
    <w:pPr>
      <w:spacing w:line="360" w:lineRule="exact"/>
      <w:ind w:firstLine="482"/>
    </w:pPr>
    <w:rPr>
      <w:rFonts w:ascii="宋体"/>
      <w:szCs w:val="20"/>
    </w:rPr>
  </w:style>
  <w:style w:type="paragraph" w:styleId="3">
    <w:name w:val="Body Text"/>
    <w:basedOn w:val="1"/>
    <w:next w:val="1"/>
    <w:qFormat/>
    <w:uiPriority w:val="0"/>
    <w:pPr>
      <w:spacing w:after="120"/>
    </w:pPr>
  </w:style>
  <w:style w:type="paragraph" w:styleId="7">
    <w:name w:val="toc 7"/>
    <w:basedOn w:val="1"/>
    <w:next w:val="1"/>
    <w:semiHidden/>
    <w:qFormat/>
    <w:uiPriority w:val="0"/>
    <w:pPr>
      <w:ind w:left="1260"/>
      <w:jc w:val="left"/>
    </w:pPr>
    <w:rPr>
      <w:sz w:val="18"/>
      <w:szCs w:val="18"/>
    </w:rPr>
  </w:style>
  <w:style w:type="paragraph" w:styleId="8">
    <w:name w:val="Normal Indent"/>
    <w:basedOn w:val="1"/>
    <w:qFormat/>
    <w:uiPriority w:val="0"/>
    <w:pPr>
      <w:ind w:firstLine="420"/>
    </w:pPr>
    <w:rPr>
      <w:szCs w:val="20"/>
    </w:rPr>
  </w:style>
  <w:style w:type="paragraph" w:styleId="9">
    <w:name w:val="Document Map"/>
    <w:basedOn w:val="1"/>
    <w:semiHidden/>
    <w:qFormat/>
    <w:uiPriority w:val="0"/>
    <w:pPr>
      <w:shd w:val="clear" w:color="auto" w:fill="000080"/>
    </w:pPr>
  </w:style>
  <w:style w:type="paragraph" w:styleId="10">
    <w:name w:val="annotation text"/>
    <w:basedOn w:val="1"/>
    <w:semiHidden/>
    <w:qFormat/>
    <w:uiPriority w:val="0"/>
    <w:pPr>
      <w:jc w:val="left"/>
    </w:pPr>
  </w:style>
  <w:style w:type="paragraph" w:styleId="11">
    <w:name w:val="toc 5"/>
    <w:basedOn w:val="1"/>
    <w:next w:val="1"/>
    <w:semiHidden/>
    <w:qFormat/>
    <w:uiPriority w:val="0"/>
    <w:pPr>
      <w:ind w:left="840"/>
      <w:jc w:val="left"/>
    </w:pPr>
    <w:rPr>
      <w:sz w:val="18"/>
      <w:szCs w:val="18"/>
    </w:rPr>
  </w:style>
  <w:style w:type="paragraph" w:styleId="12">
    <w:name w:val="toc 3"/>
    <w:basedOn w:val="1"/>
    <w:next w:val="1"/>
    <w:qFormat/>
    <w:uiPriority w:val="39"/>
    <w:pPr>
      <w:ind w:left="420"/>
      <w:jc w:val="left"/>
    </w:pPr>
    <w:rPr>
      <w:rFonts w:ascii="Times New Roman" w:hAnsi="Times New Roman" w:eastAsia="华文仿宋"/>
      <w:iCs/>
      <w:sz w:val="30"/>
      <w:szCs w:val="20"/>
    </w:rPr>
  </w:style>
  <w:style w:type="paragraph" w:styleId="13">
    <w:name w:val="Plain Text"/>
    <w:basedOn w:val="1"/>
    <w:qFormat/>
    <w:uiPriority w:val="0"/>
    <w:rPr>
      <w:rFonts w:ascii="宋体" w:hAnsi="Courier New" w:cs="Courier New"/>
      <w:szCs w:val="21"/>
    </w:rPr>
  </w:style>
  <w:style w:type="paragraph" w:styleId="14">
    <w:name w:val="toc 8"/>
    <w:basedOn w:val="1"/>
    <w:next w:val="1"/>
    <w:semiHidden/>
    <w:qFormat/>
    <w:uiPriority w:val="0"/>
    <w:pPr>
      <w:ind w:left="1470"/>
      <w:jc w:val="left"/>
    </w:pPr>
    <w:rPr>
      <w:sz w:val="18"/>
      <w:szCs w:val="18"/>
    </w:rPr>
  </w:style>
  <w:style w:type="paragraph" w:styleId="15">
    <w:name w:val="Date"/>
    <w:basedOn w:val="1"/>
    <w:next w:val="1"/>
    <w:qFormat/>
    <w:uiPriority w:val="0"/>
    <w:pPr>
      <w:ind w:left="100" w:leftChars="2500"/>
    </w:pPr>
  </w:style>
  <w:style w:type="paragraph" w:styleId="16">
    <w:name w:val="Body Text Indent 2"/>
    <w:basedOn w:val="1"/>
    <w:qFormat/>
    <w:uiPriority w:val="0"/>
    <w:pPr>
      <w:spacing w:after="120" w:line="480" w:lineRule="auto"/>
      <w:ind w:left="420" w:leftChars="200"/>
    </w:pPr>
  </w:style>
  <w:style w:type="paragraph" w:styleId="17">
    <w:name w:val="Balloon Text"/>
    <w:basedOn w:val="1"/>
    <w:semiHidden/>
    <w:qFormat/>
    <w:uiPriority w:val="0"/>
    <w:rPr>
      <w:sz w:val="18"/>
      <w:szCs w:val="18"/>
    </w:rPr>
  </w:style>
  <w:style w:type="paragraph" w:styleId="18">
    <w:name w:val="footer"/>
    <w:basedOn w:val="1"/>
    <w:link w:val="57"/>
    <w:qFormat/>
    <w:uiPriority w:val="99"/>
    <w:pPr>
      <w:tabs>
        <w:tab w:val="center" w:pos="4153"/>
        <w:tab w:val="right" w:pos="8306"/>
      </w:tabs>
      <w:snapToGrid w:val="0"/>
      <w:jc w:val="left"/>
    </w:pPr>
    <w:rPr>
      <w:sz w:val="18"/>
      <w:szCs w:val="18"/>
    </w:rPr>
  </w:style>
  <w:style w:type="paragraph" w:styleId="1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spacing w:before="120" w:after="120"/>
      <w:jc w:val="left"/>
    </w:pPr>
    <w:rPr>
      <w:b/>
      <w:bCs/>
      <w:caps/>
      <w:sz w:val="20"/>
      <w:szCs w:val="20"/>
    </w:rPr>
  </w:style>
  <w:style w:type="paragraph" w:styleId="21">
    <w:name w:val="toc 4"/>
    <w:basedOn w:val="1"/>
    <w:next w:val="1"/>
    <w:semiHidden/>
    <w:qFormat/>
    <w:uiPriority w:val="0"/>
    <w:pPr>
      <w:ind w:left="630"/>
      <w:jc w:val="left"/>
    </w:pPr>
    <w:rPr>
      <w:sz w:val="18"/>
      <w:szCs w:val="18"/>
    </w:rPr>
  </w:style>
  <w:style w:type="paragraph" w:styleId="22">
    <w:name w:val="footnote text"/>
    <w:basedOn w:val="1"/>
    <w:semiHidden/>
    <w:unhideWhenUsed/>
    <w:qFormat/>
    <w:uiPriority w:val="0"/>
    <w:pPr>
      <w:snapToGrid w:val="0"/>
      <w:spacing w:line="360" w:lineRule="auto"/>
      <w:ind w:firstLine="200" w:firstLineChars="200"/>
      <w:jc w:val="left"/>
    </w:pPr>
    <w:rPr>
      <w:sz w:val="18"/>
      <w:szCs w:val="18"/>
    </w:rPr>
  </w:style>
  <w:style w:type="paragraph" w:styleId="23">
    <w:name w:val="toc 6"/>
    <w:basedOn w:val="1"/>
    <w:next w:val="1"/>
    <w:semiHidden/>
    <w:qFormat/>
    <w:uiPriority w:val="0"/>
    <w:pPr>
      <w:ind w:left="1050"/>
      <w:jc w:val="left"/>
    </w:pPr>
    <w:rPr>
      <w:sz w:val="18"/>
      <w:szCs w:val="18"/>
    </w:rPr>
  </w:style>
  <w:style w:type="paragraph" w:styleId="24">
    <w:name w:val="Body Text Indent 3"/>
    <w:basedOn w:val="1"/>
    <w:qFormat/>
    <w:uiPriority w:val="0"/>
    <w:pPr>
      <w:spacing w:after="120"/>
      <w:ind w:left="420" w:leftChars="200"/>
    </w:pPr>
    <w:rPr>
      <w:sz w:val="16"/>
      <w:szCs w:val="16"/>
    </w:rPr>
  </w:style>
  <w:style w:type="paragraph" w:styleId="25">
    <w:name w:val="toc 2"/>
    <w:basedOn w:val="1"/>
    <w:next w:val="1"/>
    <w:qFormat/>
    <w:uiPriority w:val="39"/>
    <w:pPr>
      <w:ind w:left="210"/>
      <w:jc w:val="left"/>
    </w:pPr>
    <w:rPr>
      <w:smallCaps/>
      <w:sz w:val="20"/>
      <w:szCs w:val="20"/>
    </w:rPr>
  </w:style>
  <w:style w:type="paragraph" w:styleId="26">
    <w:name w:val="toc 9"/>
    <w:basedOn w:val="1"/>
    <w:next w:val="1"/>
    <w:semiHidden/>
    <w:qFormat/>
    <w:uiPriority w:val="0"/>
    <w:pPr>
      <w:ind w:left="1680"/>
      <w:jc w:val="left"/>
    </w:pPr>
    <w:rPr>
      <w:sz w:val="18"/>
      <w:szCs w:val="18"/>
    </w:rPr>
  </w:style>
  <w:style w:type="paragraph" w:styleId="27">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paragraph" w:styleId="28">
    <w:name w:val="annotation subject"/>
    <w:basedOn w:val="10"/>
    <w:next w:val="10"/>
    <w:semiHidden/>
    <w:qFormat/>
    <w:uiPriority w:val="0"/>
    <w:rPr>
      <w:b/>
      <w:bCs/>
    </w:rPr>
  </w:style>
  <w:style w:type="paragraph" w:styleId="29">
    <w:name w:val="Body Text First Indent 2"/>
    <w:basedOn w:val="2"/>
    <w:link w:val="55"/>
    <w:qFormat/>
    <w:uiPriority w:val="0"/>
    <w:pPr>
      <w:spacing w:after="120" w:line="240" w:lineRule="auto"/>
      <w:ind w:left="420" w:leftChars="200" w:firstLine="420" w:firstLineChars="200"/>
    </w:pPr>
    <w:rPr>
      <w:rFonts w:asciiTheme="minorHAnsi" w:hAnsiTheme="minorHAnsi" w:eastAsiaTheme="minorEastAsia" w:cstheme="minorBidi"/>
      <w:szCs w:val="24"/>
    </w:rPr>
  </w:style>
  <w:style w:type="table" w:styleId="31">
    <w:name w:val="Table Grid"/>
    <w:basedOn w:val="3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qFormat/>
    <w:uiPriority w:val="0"/>
    <w:rPr>
      <w:b/>
      <w:bCs/>
    </w:rPr>
  </w:style>
  <w:style w:type="character" w:styleId="34">
    <w:name w:val="page number"/>
    <w:basedOn w:val="32"/>
    <w:qFormat/>
    <w:uiPriority w:val="0"/>
  </w:style>
  <w:style w:type="character" w:styleId="35">
    <w:name w:val="Hyperlink"/>
    <w:qFormat/>
    <w:uiPriority w:val="99"/>
    <w:rPr>
      <w:color w:val="0000FF"/>
      <w:u w:val="single"/>
    </w:rPr>
  </w:style>
  <w:style w:type="character" w:styleId="36">
    <w:name w:val="annotation reference"/>
    <w:semiHidden/>
    <w:qFormat/>
    <w:uiPriority w:val="0"/>
    <w:rPr>
      <w:sz w:val="21"/>
      <w:szCs w:val="21"/>
    </w:rPr>
  </w:style>
  <w:style w:type="character" w:styleId="37">
    <w:name w:val="footnote reference"/>
    <w:semiHidden/>
    <w:unhideWhenUsed/>
    <w:qFormat/>
    <w:uiPriority w:val="0"/>
    <w:rPr>
      <w:vertAlign w:val="superscript"/>
    </w:rPr>
  </w:style>
  <w:style w:type="paragraph" w:customStyle="1" w:styleId="38">
    <w:name w:val="文章"/>
    <w:basedOn w:val="1"/>
    <w:qFormat/>
    <w:uiPriority w:val="0"/>
    <w:rPr>
      <w:rFonts w:ascii="宋体" w:eastAsia="楷体_GB2312"/>
      <w:kern w:val="44"/>
      <w:sz w:val="28"/>
      <w:szCs w:val="20"/>
    </w:rPr>
  </w:style>
  <w:style w:type="paragraph" w:customStyle="1" w:styleId="39">
    <w:name w:val="xl25"/>
    <w:basedOn w:val="1"/>
    <w:qFormat/>
    <w:uiPriority w:val="0"/>
    <w:pPr>
      <w:widowControl/>
      <w:pBdr>
        <w:bottom w:val="single" w:color="000000" w:sz="4" w:space="0"/>
        <w:right w:val="single" w:color="000000" w:sz="4" w:space="0"/>
      </w:pBdr>
      <w:spacing w:before="100" w:beforeAutospacing="1" w:after="100" w:afterAutospacing="1"/>
    </w:pPr>
    <w:rPr>
      <w:rFonts w:ascii="宋体" w:hAnsi="宋体"/>
      <w:kern w:val="0"/>
      <w:sz w:val="18"/>
      <w:szCs w:val="18"/>
    </w:rPr>
  </w:style>
  <w:style w:type="paragraph" w:customStyle="1" w:styleId="40">
    <w:name w:val="5"/>
    <w:basedOn w:val="1"/>
    <w:next w:val="8"/>
    <w:qFormat/>
    <w:uiPriority w:val="0"/>
    <w:pPr>
      <w:ind w:firstLine="420"/>
    </w:pPr>
    <w:rPr>
      <w:sz w:val="24"/>
      <w:szCs w:val="20"/>
    </w:rPr>
  </w:style>
  <w:style w:type="paragraph" w:customStyle="1" w:styleId="41">
    <w:name w:val="font6"/>
    <w:basedOn w:val="1"/>
    <w:qFormat/>
    <w:uiPriority w:val="0"/>
    <w:pPr>
      <w:widowControl/>
      <w:spacing w:before="100" w:beforeAutospacing="1" w:after="100" w:afterAutospacing="1"/>
      <w:jc w:val="left"/>
    </w:pPr>
    <w:rPr>
      <w:rFonts w:hint="eastAsia" w:ascii="仿宋_GB2312" w:hAnsi="Arial Unicode MS" w:eastAsia="仿宋_GB2312"/>
      <w:kern w:val="0"/>
      <w:sz w:val="18"/>
      <w:szCs w:val="18"/>
    </w:rPr>
  </w:style>
  <w:style w:type="paragraph" w:customStyle="1" w:styleId="42">
    <w:name w:val="4"/>
    <w:basedOn w:val="1"/>
    <w:next w:val="8"/>
    <w:qFormat/>
    <w:uiPriority w:val="0"/>
    <w:pPr>
      <w:ind w:firstLine="420"/>
    </w:pPr>
    <w:rPr>
      <w:szCs w:val="20"/>
    </w:rPr>
  </w:style>
  <w:style w:type="paragraph" w:customStyle="1" w:styleId="43">
    <w:name w:val="3"/>
    <w:basedOn w:val="1"/>
    <w:next w:val="8"/>
    <w:qFormat/>
    <w:uiPriority w:val="0"/>
    <w:pPr>
      <w:ind w:firstLine="420"/>
    </w:pPr>
    <w:rPr>
      <w:szCs w:val="20"/>
    </w:rPr>
  </w:style>
  <w:style w:type="paragraph" w:customStyle="1" w:styleId="44">
    <w:name w:val="2"/>
    <w:basedOn w:val="1"/>
    <w:next w:val="8"/>
    <w:qFormat/>
    <w:uiPriority w:val="0"/>
    <w:pPr>
      <w:ind w:firstLine="420"/>
    </w:pPr>
    <w:rPr>
      <w:szCs w:val="20"/>
    </w:rPr>
  </w:style>
  <w:style w:type="paragraph" w:customStyle="1" w:styleId="4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
    <w:name w:val="1"/>
    <w:basedOn w:val="1"/>
    <w:next w:val="8"/>
    <w:qFormat/>
    <w:uiPriority w:val="0"/>
    <w:pPr>
      <w:ind w:firstLine="420"/>
    </w:pPr>
    <w:rPr>
      <w:szCs w:val="20"/>
    </w:rPr>
  </w:style>
  <w:style w:type="paragraph" w:customStyle="1" w:styleId="47">
    <w:name w:val="二级标题"/>
    <w:basedOn w:val="1"/>
    <w:qFormat/>
    <w:uiPriority w:val="0"/>
    <w:rPr>
      <w:rFonts w:ascii="华文中宋" w:hAnsi="华文中宋" w:eastAsia="华文中宋"/>
      <w:b/>
      <w:sz w:val="28"/>
      <w:szCs w:val="28"/>
    </w:rPr>
  </w:style>
  <w:style w:type="paragraph" w:customStyle="1" w:styleId="48">
    <w:name w:val="Char Char Char Char"/>
    <w:basedOn w:val="1"/>
    <w:semiHidden/>
    <w:qFormat/>
    <w:uiPriority w:val="0"/>
  </w:style>
  <w:style w:type="paragraph" w:customStyle="1" w:styleId="49">
    <w:name w:val="Char"/>
    <w:basedOn w:val="1"/>
    <w:qFormat/>
    <w:uiPriority w:val="0"/>
    <w:rPr>
      <w:szCs w:val="20"/>
    </w:rPr>
  </w:style>
  <w:style w:type="paragraph" w:customStyle="1" w:styleId="50">
    <w:name w:val="正文1"/>
    <w:basedOn w:val="1"/>
    <w:qFormat/>
    <w:uiPriority w:val="0"/>
    <w:pPr>
      <w:spacing w:line="500" w:lineRule="exact"/>
      <w:ind w:firstLine="570"/>
    </w:pPr>
    <w:rPr>
      <w:sz w:val="24"/>
    </w:rPr>
  </w:style>
  <w:style w:type="paragraph" w:customStyle="1" w:styleId="51">
    <w:name w:val="Char Char Char Char Char Char Char Char Char Char Char Char"/>
    <w:basedOn w:val="1"/>
    <w:qFormat/>
    <w:uiPriority w:val="0"/>
    <w:rPr>
      <w:szCs w:val="20"/>
    </w:rPr>
  </w:style>
  <w:style w:type="character" w:customStyle="1" w:styleId="52">
    <w:name w:val="标题 1 Char"/>
    <w:link w:val="4"/>
    <w:qFormat/>
    <w:uiPriority w:val="0"/>
    <w:rPr>
      <w:rFonts w:eastAsia="宋体"/>
      <w:b/>
      <w:bCs/>
      <w:kern w:val="44"/>
      <w:sz w:val="44"/>
      <w:szCs w:val="44"/>
      <w:lang w:val="en-US" w:eastAsia="zh-CN" w:bidi="ar-SA"/>
    </w:rPr>
  </w:style>
  <w:style w:type="paragraph" w:styleId="53">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54">
    <w:name w:val="正文文本缩进 Char"/>
    <w:basedOn w:val="32"/>
    <w:link w:val="2"/>
    <w:qFormat/>
    <w:uiPriority w:val="0"/>
    <w:rPr>
      <w:rFonts w:ascii="宋体"/>
      <w:kern w:val="2"/>
      <w:sz w:val="21"/>
    </w:rPr>
  </w:style>
  <w:style w:type="character" w:customStyle="1" w:styleId="55">
    <w:name w:val="正文首行缩进 2 Char"/>
    <w:basedOn w:val="54"/>
    <w:link w:val="29"/>
    <w:qFormat/>
    <w:uiPriority w:val="0"/>
    <w:rPr>
      <w:rFonts w:asciiTheme="minorHAnsi" w:hAnsiTheme="minorHAnsi" w:eastAsiaTheme="minorEastAsia" w:cstheme="minorBidi"/>
      <w:kern w:val="2"/>
      <w:sz w:val="21"/>
      <w:szCs w:val="24"/>
    </w:rPr>
  </w:style>
  <w:style w:type="paragraph" w:customStyle="1" w:styleId="56">
    <w:name w:val="_Style 1"/>
    <w:qFormat/>
    <w:uiPriority w:val="1"/>
    <w:pPr>
      <w:widowControl w:val="0"/>
      <w:jc w:val="both"/>
    </w:pPr>
    <w:rPr>
      <w:rFonts w:ascii="Times New Roman" w:hAnsi="Times New Roman" w:eastAsia="宋体" w:cs="Times New Roman"/>
      <w:kern w:val="2"/>
      <w:sz w:val="21"/>
      <w:szCs w:val="22"/>
      <w:lang w:val="en-US" w:eastAsia="zh-CN" w:bidi="ar-SA"/>
    </w:rPr>
  </w:style>
  <w:style w:type="character" w:customStyle="1" w:styleId="57">
    <w:name w:val="页脚 Char"/>
    <w:basedOn w:val="32"/>
    <w:link w:val="18"/>
    <w:qFormat/>
    <w:uiPriority w:val="99"/>
    <w:rPr>
      <w:kern w:val="2"/>
      <w:sz w:val="18"/>
      <w:szCs w:val="18"/>
    </w:rPr>
  </w:style>
  <w:style w:type="paragraph" w:styleId="58">
    <w:name w:val="List Paragraph"/>
    <w:basedOn w:val="1"/>
    <w:qFormat/>
    <w:uiPriority w:val="99"/>
    <w:pPr>
      <w:ind w:firstLine="420" w:firstLineChars="200"/>
    </w:pPr>
  </w:style>
  <w:style w:type="paragraph" w:customStyle="1" w:styleId="59">
    <w:name w:val="图表头"/>
    <w:qFormat/>
    <w:uiPriority w:val="0"/>
    <w:pPr>
      <w:widowControl w:val="0"/>
      <w:spacing w:line="360" w:lineRule="auto"/>
      <w:ind w:firstLine="0" w:firstLineChars="0"/>
      <w:jc w:val="center"/>
    </w:pPr>
    <w:rPr>
      <w:rFonts w:ascii="Times New Roman" w:hAnsi="Times New Roman" w:eastAsia="华文仿宋" w:cs="Times New Roman"/>
      <w:b/>
      <w:kern w:val="2"/>
      <w:sz w:val="21"/>
      <w:szCs w:val="24"/>
      <w:lang w:val="en-US" w:eastAsia="zh-CN" w:bidi="ar-SA"/>
    </w:rPr>
  </w:style>
  <w:style w:type="character" w:customStyle="1" w:styleId="60">
    <w:name w:val="font31"/>
    <w:basedOn w:val="32"/>
    <w:qFormat/>
    <w:uiPriority w:val="0"/>
    <w:rPr>
      <w:rFonts w:hint="eastAsia" w:ascii="宋体" w:hAnsi="宋体" w:eastAsia="宋体" w:cs="宋体"/>
      <w:b/>
      <w:color w:val="000000"/>
      <w:sz w:val="21"/>
      <w:szCs w:val="21"/>
      <w:u w:val="none"/>
      <w:vertAlign w:val="superscript"/>
    </w:rPr>
  </w:style>
  <w:style w:type="character" w:customStyle="1" w:styleId="61">
    <w:name w:val="font21"/>
    <w:basedOn w:val="32"/>
    <w:qFormat/>
    <w:uiPriority w:val="0"/>
    <w:rPr>
      <w:rFonts w:hint="eastAsia" w:ascii="宋体" w:hAnsi="宋体" w:eastAsia="宋体" w:cs="宋体"/>
      <w:b/>
      <w:color w:val="000000"/>
      <w:sz w:val="21"/>
      <w:szCs w:val="21"/>
      <w:u w:val="none"/>
    </w:rPr>
  </w:style>
  <w:style w:type="character" w:customStyle="1" w:styleId="62">
    <w:name w:val="font01"/>
    <w:basedOn w:val="32"/>
    <w:qFormat/>
    <w:uiPriority w:val="0"/>
    <w:rPr>
      <w:rFonts w:hint="eastAsia" w:ascii="宋体" w:hAnsi="宋体" w:eastAsia="宋体" w:cs="宋体"/>
      <w:b/>
      <w:color w:val="0000FF"/>
      <w:sz w:val="20"/>
      <w:szCs w:val="20"/>
      <w:u w:val="none"/>
    </w:rPr>
  </w:style>
  <w:style w:type="character" w:customStyle="1" w:styleId="63">
    <w:name w:val="font41"/>
    <w:basedOn w:val="32"/>
    <w:uiPriority w:val="0"/>
    <w:rPr>
      <w:rFonts w:hint="eastAsia" w:ascii="宋体" w:hAnsi="宋体" w:eastAsia="宋体" w:cs="宋体"/>
      <w:b/>
      <w:color w:val="0000FF"/>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0" Type="http://schemas.openxmlformats.org/officeDocument/2006/relationships/fontTable" Target="fontTable.xml"/><Relationship Id="rId5" Type="http://schemas.openxmlformats.org/officeDocument/2006/relationships/footer" Target="footer3.xml"/><Relationship Id="rId49" Type="http://schemas.openxmlformats.org/officeDocument/2006/relationships/customXml" Target="../customXml/item2.xml"/><Relationship Id="rId48" Type="http://schemas.openxmlformats.org/officeDocument/2006/relationships/numbering" Target="numbering.xml"/><Relationship Id="rId47" Type="http://schemas.openxmlformats.org/officeDocument/2006/relationships/customXml" Target="../customXml/item1.xml"/><Relationship Id="rId46" Type="http://schemas.openxmlformats.org/officeDocument/2006/relationships/image" Target="media/image31.jpeg"/><Relationship Id="rId45" Type="http://schemas.openxmlformats.org/officeDocument/2006/relationships/image" Target="media/image30.jpeg"/><Relationship Id="rId44" Type="http://schemas.openxmlformats.org/officeDocument/2006/relationships/image" Target="media/image29.jpeg"/><Relationship Id="rId43" Type="http://schemas.openxmlformats.org/officeDocument/2006/relationships/image" Target="media/image28.jpeg"/><Relationship Id="rId42" Type="http://schemas.openxmlformats.org/officeDocument/2006/relationships/image" Target="media/image27.jpeg"/><Relationship Id="rId41" Type="http://schemas.openxmlformats.org/officeDocument/2006/relationships/image" Target="media/image26.jpeg"/><Relationship Id="rId40" Type="http://schemas.openxmlformats.org/officeDocument/2006/relationships/image" Target="media/image25.jpeg"/><Relationship Id="rId4" Type="http://schemas.openxmlformats.org/officeDocument/2006/relationships/footer" Target="footer2.xml"/><Relationship Id="rId39" Type="http://schemas.openxmlformats.org/officeDocument/2006/relationships/image" Target="media/image24.jpeg"/><Relationship Id="rId38" Type="http://schemas.openxmlformats.org/officeDocument/2006/relationships/image" Target="media/image23.jpeg"/><Relationship Id="rId37" Type="http://schemas.openxmlformats.org/officeDocument/2006/relationships/image" Target="media/image22.jpeg"/><Relationship Id="rId36" Type="http://schemas.openxmlformats.org/officeDocument/2006/relationships/image" Target="media/image21.jpeg"/><Relationship Id="rId35" Type="http://schemas.openxmlformats.org/officeDocument/2006/relationships/image" Target="media/image20.jpeg"/><Relationship Id="rId34" Type="http://schemas.openxmlformats.org/officeDocument/2006/relationships/image" Target="media/image19.jpeg"/><Relationship Id="rId33" Type="http://schemas.openxmlformats.org/officeDocument/2006/relationships/image" Target="media/image18.jpeg"/><Relationship Id="rId32" Type="http://schemas.openxmlformats.org/officeDocument/2006/relationships/image" Target="media/image17.jpeg"/><Relationship Id="rId31" Type="http://schemas.openxmlformats.org/officeDocument/2006/relationships/image" Target="media/image16.jpeg"/><Relationship Id="rId30" Type="http://schemas.openxmlformats.org/officeDocument/2006/relationships/image" Target="media/image15.jpeg"/><Relationship Id="rId3" Type="http://schemas.openxmlformats.org/officeDocument/2006/relationships/footer" Target="footer1.xml"/><Relationship Id="rId29" Type="http://schemas.openxmlformats.org/officeDocument/2006/relationships/image" Target="media/image14.jpeg"/><Relationship Id="rId28" Type="http://schemas.openxmlformats.org/officeDocument/2006/relationships/image" Target="media/image13.jpeg"/><Relationship Id="rId27" Type="http://schemas.openxmlformats.org/officeDocument/2006/relationships/image" Target="media/image12.jpeg"/><Relationship Id="rId26" Type="http://schemas.openxmlformats.org/officeDocument/2006/relationships/image" Target="media/image11.jpeg"/><Relationship Id="rId25" Type="http://schemas.openxmlformats.org/officeDocument/2006/relationships/image" Target="media/image10.jpeg"/><Relationship Id="rId24" Type="http://schemas.openxmlformats.org/officeDocument/2006/relationships/image" Target="media/image9.jpeg"/><Relationship Id="rId23" Type="http://schemas.openxmlformats.org/officeDocument/2006/relationships/image" Target="media/image8.jpeg"/><Relationship Id="rId22" Type="http://schemas.openxmlformats.org/officeDocument/2006/relationships/image" Target="media/image7.jpeg"/><Relationship Id="rId21" Type="http://schemas.openxmlformats.org/officeDocument/2006/relationships/image" Target="media/image6.jpeg"/><Relationship Id="rId20" Type="http://schemas.openxmlformats.org/officeDocument/2006/relationships/image" Target="media/image5.jpeg"/><Relationship Id="rId2" Type="http://schemas.openxmlformats.org/officeDocument/2006/relationships/settings" Target="settings.xml"/><Relationship Id="rId19" Type="http://schemas.openxmlformats.org/officeDocument/2006/relationships/image" Target="media/image4.jpeg"/><Relationship Id="rId18" Type="http://schemas.openxmlformats.org/officeDocument/2006/relationships/image" Target="media/image3.jpeg"/><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57D310-68FC-4EB5-BE30-6D117A83BD2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95</Pages>
  <Words>29109</Words>
  <Characters>32186</Characters>
  <Lines>330</Lines>
  <Paragraphs>93</Paragraphs>
  <TotalTime>1</TotalTime>
  <ScaleCrop>false</ScaleCrop>
  <LinksUpToDate>false</LinksUpToDate>
  <CharactersWithSpaces>43191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2022-01-27T02:51:00Z</dcterms:created>
  <dc:creator>cxf</dc:creator>
  <cp:lastModifiedBy>acer</cp:lastModifiedBy>
  <cp:lastPrinted>2022-01-28T02:05:00Z</cp:lastPrinted>
  <dcterms:modified xsi:type="dcterms:W3CDTF">2023-12-07T02:21:38Z</dcterms:modified>
  <dc:title>安徽省宣城市宣州区</dc:title>
  <cp:revision>798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3EAA72E4ADDE4604BF59245157A52406</vt:lpwstr>
  </property>
</Properties>
</file>