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38FF1" w14:textId="77777777" w:rsidR="0062582F" w:rsidRDefault="0062582F">
      <w:pPr>
        <w:spacing w:before="62"/>
        <w:rPr>
          <w:rFonts w:ascii="Calibri" w:eastAsia="方正小标宋简体" w:hAnsi="Calibri" w:cs="Times New Roman"/>
          <w:sz w:val="72"/>
          <w:szCs w:val="72"/>
          <w:shd w:val="clear" w:color="auto" w:fill="FFFFFF"/>
          <w14:ligatures w14:val="none"/>
        </w:rPr>
      </w:pPr>
      <w:bookmarkStart w:id="0" w:name="_Toc14344"/>
      <w:bookmarkStart w:id="1" w:name="_Toc1369"/>
      <w:bookmarkStart w:id="2" w:name="_Toc7240"/>
    </w:p>
    <w:p w14:paraId="2E55FA93" w14:textId="77777777" w:rsidR="0062582F" w:rsidRDefault="0062582F">
      <w:pPr>
        <w:spacing w:before="62"/>
        <w:rPr>
          <w:rFonts w:ascii="Calibri" w:eastAsia="方正小标宋简体" w:hAnsi="Calibri" w:cs="Times New Roman"/>
          <w:sz w:val="72"/>
          <w:szCs w:val="72"/>
          <w:shd w:val="clear" w:color="auto" w:fill="FFFFFF"/>
          <w14:ligatures w14:val="none"/>
        </w:rPr>
      </w:pPr>
    </w:p>
    <w:p w14:paraId="337AB411" w14:textId="77777777" w:rsidR="0062582F" w:rsidRDefault="00000000">
      <w:pPr>
        <w:spacing w:before="62"/>
        <w:rPr>
          <w:rFonts w:ascii="Calibri" w:eastAsia="方正小标宋简体" w:hAnsi="Calibri" w:cs="Times New Roman"/>
          <w:sz w:val="72"/>
          <w:szCs w:val="72"/>
          <w:shd w:val="clear" w:color="auto" w:fill="FFFFFF"/>
          <w14:ligatures w14:val="none"/>
        </w:rPr>
      </w:pPr>
      <w:bookmarkStart w:id="3" w:name="_Hlk168391898"/>
      <w:r>
        <w:rPr>
          <w:rFonts w:ascii="Calibri" w:eastAsia="方正小标宋简体" w:hAnsi="Calibri" w:cs="Times New Roman" w:hint="eastAsia"/>
          <w:sz w:val="72"/>
          <w:szCs w:val="72"/>
          <w:shd w:val="clear" w:color="auto" w:fill="FFFFFF"/>
          <w14:ligatures w14:val="none"/>
        </w:rPr>
        <w:t>东至县</w:t>
      </w:r>
      <w:r>
        <w:rPr>
          <w:rFonts w:ascii="Calibri" w:eastAsia="方正小标宋简体" w:hAnsi="Calibri" w:cs="Times New Roman"/>
          <w:sz w:val="72"/>
          <w:szCs w:val="72"/>
          <w:shd w:val="clear" w:color="auto" w:fill="FFFFFF"/>
          <w14:ligatures w14:val="none"/>
        </w:rPr>
        <w:t>国土空间总体规划</w:t>
      </w:r>
    </w:p>
    <w:p w14:paraId="055AC1C7" w14:textId="77777777" w:rsidR="0062582F" w:rsidRDefault="00000000">
      <w:pPr>
        <w:spacing w:before="62"/>
        <w:jc w:val="center"/>
        <w:rPr>
          <w:rFonts w:ascii="Calibri" w:eastAsia="方正小标宋简体" w:hAnsi="Calibri" w:cs="Times New Roman"/>
          <w:sz w:val="72"/>
          <w:szCs w:val="72"/>
          <w:shd w:val="clear" w:color="auto" w:fill="FFFFFF"/>
          <w14:ligatures w14:val="none"/>
        </w:rPr>
      </w:pPr>
      <w:r>
        <w:rPr>
          <w:rFonts w:ascii="Calibri" w:eastAsia="方正小标宋简体" w:hAnsi="Calibri" w:cs="Times New Roman"/>
          <w:sz w:val="72"/>
          <w:szCs w:val="72"/>
          <w:shd w:val="clear" w:color="auto" w:fill="FFFFFF"/>
          <w14:ligatures w14:val="none"/>
        </w:rPr>
        <w:t>（</w:t>
      </w:r>
      <w:r>
        <w:rPr>
          <w:rFonts w:ascii="Calibri" w:eastAsia="方正小标宋简体" w:hAnsi="Calibri" w:cs="Times New Roman"/>
          <w:sz w:val="72"/>
          <w:szCs w:val="72"/>
          <w:shd w:val="clear" w:color="auto" w:fill="FFFFFF"/>
          <w14:ligatures w14:val="none"/>
        </w:rPr>
        <w:t>2021</w:t>
      </w:r>
      <w:r>
        <w:rPr>
          <w:rFonts w:ascii="方正小标宋简体" w:eastAsia="方正小标宋简体" w:hAnsi="方正小标宋简体" w:cs="方正小标宋简体" w:hint="eastAsia"/>
          <w:sz w:val="72"/>
          <w:szCs w:val="72"/>
          <w:shd w:val="clear" w:color="auto" w:fill="FFFFFF"/>
          <w14:ligatures w14:val="none"/>
        </w:rPr>
        <w:t>—</w:t>
      </w:r>
      <w:r>
        <w:rPr>
          <w:rFonts w:ascii="Calibri" w:eastAsia="方正小标宋简体" w:hAnsi="Calibri" w:cs="Times New Roman"/>
          <w:sz w:val="72"/>
          <w:szCs w:val="72"/>
          <w:shd w:val="clear" w:color="auto" w:fill="FFFFFF"/>
          <w14:ligatures w14:val="none"/>
        </w:rPr>
        <w:t>2035</w:t>
      </w:r>
      <w:r>
        <w:rPr>
          <w:rFonts w:ascii="Calibri" w:eastAsia="方正小标宋简体" w:hAnsi="Calibri" w:cs="Times New Roman"/>
          <w:sz w:val="72"/>
          <w:szCs w:val="72"/>
          <w:shd w:val="clear" w:color="auto" w:fill="FFFFFF"/>
          <w14:ligatures w14:val="none"/>
        </w:rPr>
        <w:t>年）</w:t>
      </w:r>
    </w:p>
    <w:bookmarkEnd w:id="3"/>
    <w:p w14:paraId="70309E76" w14:textId="288A37A8" w:rsidR="00A7238D" w:rsidRPr="001F4E54" w:rsidRDefault="00A7238D" w:rsidP="00E5348A">
      <w:pPr>
        <w:jc w:val="center"/>
        <w:rPr>
          <w:rFonts w:ascii="方正小标宋简体" w:eastAsia="方正小标宋简体" w:hAnsi="仿宋" w:cs="仿宋" w:hint="eastAsia"/>
          <w:sz w:val="72"/>
          <w:szCs w:val="72"/>
        </w:rPr>
      </w:pPr>
      <w:r>
        <w:rPr>
          <w:rFonts w:ascii="方正小标宋简体" w:eastAsia="方正小标宋简体" w:hAnsi="仿宋" w:cs="仿宋" w:hint="eastAsia"/>
          <w:sz w:val="72"/>
          <w:szCs w:val="72"/>
        </w:rPr>
        <w:t>文本</w:t>
      </w:r>
    </w:p>
    <w:p w14:paraId="4C73917C" w14:textId="77777777" w:rsidR="008666AC" w:rsidRDefault="008666AC">
      <w:pPr>
        <w:autoSpaceDE w:val="0"/>
        <w:autoSpaceDN w:val="0"/>
        <w:spacing w:before="62" w:line="560" w:lineRule="exact"/>
        <w:ind w:left="720"/>
        <w:jc w:val="center"/>
        <w:rPr>
          <w:rFonts w:ascii="Calibri" w:eastAsia="方正小标宋简体" w:hAnsi="Calibri" w:cs="Times New Roman"/>
          <w:sz w:val="72"/>
          <w:szCs w:val="72"/>
          <w:shd w:val="clear" w:color="auto" w:fill="FFFFFF"/>
          <w14:ligatures w14:val="none"/>
        </w:rPr>
      </w:pPr>
    </w:p>
    <w:p w14:paraId="00EF8994" w14:textId="77777777" w:rsidR="008666AC" w:rsidRPr="008666AC" w:rsidRDefault="008666AC">
      <w:pPr>
        <w:autoSpaceDE w:val="0"/>
        <w:autoSpaceDN w:val="0"/>
        <w:spacing w:before="62" w:line="560" w:lineRule="exact"/>
        <w:ind w:left="720"/>
        <w:jc w:val="center"/>
        <w:rPr>
          <w:rFonts w:ascii="宋体" w:eastAsia="黑体" w:hAnsi="宋体" w:cs="宋体" w:hint="eastAsia"/>
          <w:kern w:val="0"/>
          <w:sz w:val="48"/>
          <w:szCs w:val="48"/>
          <w:shd w:val="clear" w:color="auto" w:fill="FFFFFF"/>
          <w:lang w:bidi="zh-CN"/>
          <w14:ligatures w14:val="none"/>
        </w:rPr>
      </w:pPr>
    </w:p>
    <w:p w14:paraId="2547D760" w14:textId="77777777" w:rsidR="0062582F" w:rsidRDefault="00000000">
      <w:pPr>
        <w:spacing w:before="62" w:line="600" w:lineRule="auto"/>
        <w:jc w:val="center"/>
        <w:rPr>
          <w:rFonts w:ascii="Calibri" w:eastAsia="宋体" w:hAnsi="Calibri" w:cs="Times New Roman"/>
          <w:sz w:val="40"/>
          <w:szCs w:val="40"/>
          <w:shd w:val="clear" w:color="auto" w:fill="FFFFFF"/>
          <w14:ligatures w14:val="none"/>
        </w:rPr>
      </w:pPr>
      <w:r>
        <w:rPr>
          <w:rFonts w:ascii="Calibri" w:eastAsia="宋体" w:hAnsi="Calibri" w:cs="Times New Roman"/>
          <w:sz w:val="40"/>
          <w:szCs w:val="40"/>
          <w:shd w:val="clear" w:color="auto" w:fill="FFFFFF"/>
          <w14:ligatures w14:val="none"/>
        </w:rPr>
        <w:t xml:space="preserve"> </w:t>
      </w:r>
    </w:p>
    <w:p w14:paraId="501E4D86" w14:textId="77777777" w:rsidR="0062582F" w:rsidRDefault="0062582F">
      <w:pPr>
        <w:autoSpaceDE w:val="0"/>
        <w:autoSpaceDN w:val="0"/>
        <w:spacing w:before="161" w:line="560" w:lineRule="exact"/>
        <w:ind w:left="720" w:firstLine="640"/>
        <w:jc w:val="left"/>
        <w:rPr>
          <w:rFonts w:ascii="宋体" w:eastAsia="宋体" w:hAnsi="宋体" w:cs="宋体" w:hint="eastAsia"/>
          <w:kern w:val="0"/>
          <w:sz w:val="24"/>
          <w:szCs w:val="24"/>
          <w:lang w:bidi="zh-CN"/>
          <w14:ligatures w14:val="none"/>
        </w:rPr>
      </w:pPr>
    </w:p>
    <w:p w14:paraId="3590EABE" w14:textId="77777777" w:rsidR="0062582F" w:rsidRDefault="0062582F">
      <w:pPr>
        <w:spacing w:before="62" w:line="600" w:lineRule="auto"/>
        <w:jc w:val="center"/>
        <w:rPr>
          <w:rFonts w:ascii="Calibri" w:eastAsia="宋体" w:hAnsi="Calibri" w:cs="Times New Roman"/>
          <w:sz w:val="48"/>
          <w:szCs w:val="48"/>
          <w:shd w:val="clear" w:color="auto" w:fill="FFFFFF"/>
          <w14:ligatures w14:val="none"/>
        </w:rPr>
      </w:pPr>
    </w:p>
    <w:p w14:paraId="138A456E" w14:textId="77777777" w:rsidR="0062582F" w:rsidRDefault="0062582F">
      <w:pPr>
        <w:spacing w:before="62" w:line="600" w:lineRule="auto"/>
        <w:jc w:val="center"/>
        <w:rPr>
          <w:rFonts w:ascii="Calibri" w:eastAsia="宋体" w:hAnsi="Calibri" w:cs="Times New Roman"/>
          <w:sz w:val="48"/>
          <w:szCs w:val="48"/>
          <w:shd w:val="clear" w:color="auto" w:fill="FFFFFF"/>
          <w14:ligatures w14:val="none"/>
        </w:rPr>
      </w:pPr>
    </w:p>
    <w:p w14:paraId="3A964E99" w14:textId="77777777" w:rsidR="0062582F" w:rsidRDefault="0062582F">
      <w:pPr>
        <w:autoSpaceDE w:val="0"/>
        <w:autoSpaceDN w:val="0"/>
        <w:spacing w:before="62" w:line="560" w:lineRule="exact"/>
        <w:ind w:left="720" w:firstLine="640"/>
        <w:jc w:val="left"/>
        <w:rPr>
          <w:rFonts w:ascii="宋体" w:eastAsia="宋体" w:hAnsi="宋体" w:cs="宋体" w:hint="eastAsia"/>
          <w:kern w:val="0"/>
          <w:sz w:val="24"/>
          <w:szCs w:val="24"/>
          <w:lang w:bidi="zh-CN"/>
          <w14:ligatures w14:val="none"/>
        </w:rPr>
      </w:pPr>
    </w:p>
    <w:p w14:paraId="335221EB" w14:textId="77777777" w:rsidR="0062582F" w:rsidRDefault="0062582F">
      <w:pPr>
        <w:spacing w:line="560" w:lineRule="exact"/>
        <w:ind w:firstLine="720"/>
        <w:rPr>
          <w:rFonts w:ascii="Calibri" w:eastAsia="黑体" w:hAnsi="Calibri" w:cs="Times New Roman"/>
          <w:sz w:val="36"/>
          <w:szCs w:val="36"/>
          <w14:ligatures w14:val="none"/>
        </w:rPr>
      </w:pPr>
    </w:p>
    <w:p w14:paraId="70EC0225" w14:textId="77777777" w:rsidR="0062582F" w:rsidRDefault="00000000">
      <w:pPr>
        <w:spacing w:before="62"/>
        <w:jc w:val="center"/>
        <w:rPr>
          <w:rFonts w:ascii="Calibri" w:eastAsia="黑体" w:hAnsi="Calibri" w:cs="Times New Roman"/>
          <w:sz w:val="36"/>
          <w:szCs w:val="36"/>
          <w:shd w:val="clear" w:color="auto" w:fill="FFFFFF"/>
          <w14:ligatures w14:val="none"/>
        </w:rPr>
      </w:pPr>
      <w:bookmarkStart w:id="4" w:name="_Hlk168391918"/>
      <w:r>
        <w:rPr>
          <w:rFonts w:ascii="Calibri" w:eastAsia="黑体" w:hAnsi="Calibri" w:cs="Times New Roman" w:hint="eastAsia"/>
          <w:sz w:val="36"/>
          <w:szCs w:val="36"/>
          <w:shd w:val="clear" w:color="auto" w:fill="FFFFFF"/>
          <w14:ligatures w14:val="none"/>
        </w:rPr>
        <w:t>东至县</w:t>
      </w:r>
      <w:r>
        <w:rPr>
          <w:rFonts w:ascii="Calibri" w:eastAsia="黑体" w:hAnsi="Calibri" w:cs="Times New Roman"/>
          <w:sz w:val="36"/>
          <w:szCs w:val="36"/>
          <w:shd w:val="clear" w:color="auto" w:fill="FFFFFF"/>
          <w14:ligatures w14:val="none"/>
        </w:rPr>
        <w:t>人民政府</w:t>
      </w:r>
    </w:p>
    <w:p w14:paraId="291B341D" w14:textId="5BD709EF" w:rsidR="0062582F" w:rsidRDefault="00000000">
      <w:pPr>
        <w:snapToGrid w:val="0"/>
        <w:spacing w:before="62"/>
        <w:jc w:val="center"/>
        <w:rPr>
          <w:rFonts w:ascii="Calibri" w:eastAsia="仿宋_GB2312" w:hAnsi="Calibri" w:cs="Times New Roman"/>
          <w:sz w:val="32"/>
          <w14:ligatures w14:val="none"/>
        </w:rPr>
      </w:pPr>
      <w:r>
        <w:rPr>
          <w:rFonts w:ascii="Calibri" w:eastAsia="黑体" w:hAnsi="Calibri" w:cs="Times New Roman"/>
          <w:sz w:val="36"/>
          <w:szCs w:val="36"/>
          <w:shd w:val="clear" w:color="auto" w:fill="FFFFFF"/>
          <w14:ligatures w14:val="none"/>
        </w:rPr>
        <w:t>2024</w:t>
      </w:r>
      <w:r>
        <w:rPr>
          <w:rFonts w:ascii="Calibri" w:eastAsia="黑体" w:hAnsi="Calibri" w:cs="Times New Roman"/>
          <w:sz w:val="36"/>
          <w:szCs w:val="36"/>
          <w:shd w:val="clear" w:color="auto" w:fill="FFFFFF"/>
          <w14:ligatures w14:val="none"/>
        </w:rPr>
        <w:t>年</w:t>
      </w:r>
      <w:r w:rsidR="00F67A6F">
        <w:rPr>
          <w:rFonts w:ascii="Calibri" w:eastAsia="黑体" w:hAnsi="Calibri" w:cs="Times New Roman" w:hint="eastAsia"/>
          <w:sz w:val="36"/>
          <w:szCs w:val="36"/>
          <w:shd w:val="clear" w:color="auto" w:fill="FFFFFF"/>
          <w14:ligatures w14:val="none"/>
        </w:rPr>
        <w:t>12</w:t>
      </w:r>
      <w:r>
        <w:rPr>
          <w:rFonts w:ascii="Calibri" w:eastAsia="黑体" w:hAnsi="Calibri" w:cs="Times New Roman"/>
          <w:sz w:val="36"/>
          <w:szCs w:val="36"/>
          <w:shd w:val="clear" w:color="auto" w:fill="FFFFFF"/>
          <w14:ligatures w14:val="none"/>
        </w:rPr>
        <w:t>月</w:t>
      </w:r>
    </w:p>
    <w:bookmarkEnd w:id="4"/>
    <w:p w14:paraId="13AAFAF4" w14:textId="77777777" w:rsidR="0062582F" w:rsidRDefault="0062582F">
      <w:pPr>
        <w:spacing w:line="560" w:lineRule="exact"/>
        <w:ind w:firstLine="640"/>
        <w:rPr>
          <w:rFonts w:ascii="Calibri" w:eastAsia="仿宋_GB2312" w:hAnsi="Calibri" w:cs="Times New Roman"/>
          <w:sz w:val="32"/>
          <w14:ligatures w14:val="none"/>
        </w:rPr>
      </w:pPr>
    </w:p>
    <w:p w14:paraId="1B836EA9" w14:textId="77777777" w:rsidR="001049AE" w:rsidRDefault="001049AE">
      <w:pPr>
        <w:spacing w:line="560" w:lineRule="exact"/>
        <w:ind w:firstLine="640"/>
        <w:rPr>
          <w:rFonts w:ascii="Calibri" w:eastAsia="仿宋_GB2312" w:hAnsi="Calibri" w:cs="Times New Roman"/>
          <w:sz w:val="32"/>
          <w14:ligatures w14:val="none"/>
        </w:rPr>
      </w:pPr>
    </w:p>
    <w:bookmarkEnd w:id="0"/>
    <w:bookmarkEnd w:id="1"/>
    <w:bookmarkEnd w:id="2"/>
    <w:p w14:paraId="7FA29A43" w14:textId="77777777" w:rsidR="0062582F" w:rsidRPr="00305D96" w:rsidRDefault="0062582F">
      <w:pPr>
        <w:spacing w:line="360" w:lineRule="auto"/>
        <w:ind w:firstLine="640"/>
        <w:rPr>
          <w:rFonts w:ascii="仿宋_GB2312" w:eastAsia="仿宋_GB2312" w:hAnsi="Calibri" w:cs="Times New Roman"/>
          <w:sz w:val="32"/>
          <w:szCs w:val="32"/>
          <w14:ligatures w14:val="none"/>
        </w:rPr>
        <w:sectPr w:rsidR="0062582F" w:rsidRPr="00305D96" w:rsidSect="00651035">
          <w:headerReference w:type="even" r:id="rId8"/>
          <w:footerReference w:type="even" r:id="rId9"/>
          <w:footerReference w:type="default" r:id="rId10"/>
          <w:footerReference w:type="first" r:id="rId11"/>
          <w:pgSz w:w="11906" w:h="16838"/>
          <w:pgMar w:top="1440" w:right="1800" w:bottom="1440" w:left="1800" w:header="851" w:footer="992" w:gutter="0"/>
          <w:cols w:space="425"/>
          <w:titlePg/>
          <w:docGrid w:type="lines" w:linePitch="312"/>
        </w:sectPr>
      </w:pPr>
    </w:p>
    <w:p w14:paraId="1C050144" w14:textId="77777777" w:rsidR="0062582F" w:rsidRDefault="00000000">
      <w:pPr>
        <w:tabs>
          <w:tab w:val="left" w:pos="1260"/>
          <w:tab w:val="right" w:pos="9016"/>
        </w:tabs>
        <w:spacing w:line="560" w:lineRule="exact"/>
        <w:jc w:val="center"/>
        <w:rPr>
          <w:rFonts w:ascii="黑体" w:eastAsia="黑体" w:hAnsi="黑体" w:cs="Times New Roman" w:hint="eastAsia"/>
          <w:b/>
          <w:bCs/>
          <w:sz w:val="40"/>
          <w:szCs w:val="36"/>
          <w:lang w:bidi="zh-CN"/>
          <w14:ligatures w14:val="none"/>
        </w:rPr>
      </w:pPr>
      <w:bookmarkStart w:id="5" w:name="_Toc116658755"/>
      <w:bookmarkStart w:id="6" w:name="_Toc81821279"/>
      <w:bookmarkStart w:id="7" w:name="_Toc81820517"/>
      <w:bookmarkStart w:id="8" w:name="_Toc81821475"/>
      <w:bookmarkStart w:id="9" w:name="_Toc133257925"/>
      <w:bookmarkStart w:id="10" w:name="_Toc81820895"/>
      <w:bookmarkStart w:id="11" w:name="_Toc132637186"/>
      <w:bookmarkStart w:id="12" w:name="_Toc81919519"/>
      <w:bookmarkStart w:id="13" w:name="_Toc81818835"/>
      <w:bookmarkStart w:id="14" w:name="_Toc129957300"/>
      <w:bookmarkStart w:id="15" w:name="_Toc81821090"/>
      <w:r>
        <w:rPr>
          <w:rFonts w:ascii="黑体" w:eastAsia="黑体" w:hAnsi="黑体" w:cs="Times New Roman" w:hint="eastAsia"/>
          <w:b/>
          <w:bCs/>
          <w:sz w:val="40"/>
          <w:szCs w:val="36"/>
          <w:lang w:bidi="zh-CN"/>
          <w14:ligatures w14:val="none"/>
        </w:rPr>
        <w:lastRenderedPageBreak/>
        <w:t>目  录</w:t>
      </w:r>
      <w:bookmarkEnd w:id="5"/>
      <w:bookmarkEnd w:id="6"/>
      <w:bookmarkEnd w:id="7"/>
      <w:bookmarkEnd w:id="8"/>
      <w:bookmarkEnd w:id="9"/>
      <w:bookmarkEnd w:id="10"/>
      <w:bookmarkEnd w:id="11"/>
      <w:bookmarkEnd w:id="12"/>
      <w:bookmarkEnd w:id="13"/>
      <w:bookmarkEnd w:id="14"/>
      <w:bookmarkEnd w:id="15"/>
    </w:p>
    <w:p w14:paraId="6FA83E19" w14:textId="77777777" w:rsidR="005577CF" w:rsidRDefault="005577CF">
      <w:pPr>
        <w:spacing w:line="360" w:lineRule="auto"/>
        <w:ind w:firstLine="640"/>
        <w:rPr>
          <w:rFonts w:ascii="仿宋_GB2312" w:eastAsia="仿宋_GB2312" w:hAnsi="Calibri" w:cs="Times New Roman"/>
          <w:b/>
          <w:bCs/>
          <w:sz w:val="32"/>
          <w:szCs w:val="32"/>
          <w14:ligatures w14:val="none"/>
        </w:rPr>
      </w:pPr>
    </w:p>
    <w:p w14:paraId="40CED40E" w14:textId="2E4A338C" w:rsidR="0062582F" w:rsidRPr="005577CF" w:rsidRDefault="005577C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前言</w:t>
      </w:r>
    </w:p>
    <w:p w14:paraId="655B313E"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第一章</w:t>
      </w:r>
      <w:r w:rsidRPr="005577CF">
        <w:rPr>
          <w:rFonts w:ascii="仿宋_GB2312" w:eastAsia="仿宋_GB2312" w:hAnsi="Calibri" w:cs="Times New Roman" w:hint="eastAsia"/>
          <w:b/>
          <w:bCs/>
          <w:sz w:val="32"/>
          <w:szCs w:val="32"/>
          <w14:ligatures w14:val="none"/>
        </w:rPr>
        <w:tab/>
        <w:t>规划基础</w:t>
      </w:r>
    </w:p>
    <w:p w14:paraId="7BED6017" w14:textId="667D05FA"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第二章</w:t>
      </w:r>
      <w:r w:rsidRPr="005577CF">
        <w:rPr>
          <w:rFonts w:ascii="仿宋_GB2312" w:eastAsia="仿宋_GB2312" w:hAnsi="Calibri" w:cs="Times New Roman" w:hint="eastAsia"/>
          <w:b/>
          <w:bCs/>
          <w:sz w:val="32"/>
          <w:szCs w:val="32"/>
          <w14:ligatures w14:val="none"/>
        </w:rPr>
        <w:tab/>
        <w:t>国土空间开发保护目标和策略</w:t>
      </w:r>
    </w:p>
    <w:p w14:paraId="2FCB5264"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第三章</w:t>
      </w:r>
      <w:r w:rsidRPr="005577CF">
        <w:rPr>
          <w:rFonts w:ascii="仿宋_GB2312" w:eastAsia="仿宋_GB2312" w:hAnsi="Calibri" w:cs="Times New Roman" w:hint="eastAsia"/>
          <w:b/>
          <w:bCs/>
          <w:sz w:val="32"/>
          <w:szCs w:val="32"/>
          <w14:ligatures w14:val="none"/>
        </w:rPr>
        <w:tab/>
        <w:t>以“三区三线”为基础，构建美丽国土空间格局</w:t>
      </w:r>
    </w:p>
    <w:p w14:paraId="1A7F3DAC"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第四章 保障农业空间，支持推进乡村振兴</w:t>
      </w:r>
    </w:p>
    <w:p w14:paraId="54C63405"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第五章 保护青山绿水，筑牢生态安全屏障</w:t>
      </w:r>
    </w:p>
    <w:p w14:paraId="39B58023"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第六章 强化集约集聚，支撑以人为核心的新型城镇化</w:t>
      </w:r>
    </w:p>
    <w:p w14:paraId="5E72211C"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第七章 优化城区布局，支撑建设现代化滨江城市</w:t>
      </w:r>
    </w:p>
    <w:p w14:paraId="7BBD185B"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第八章 保护文化与彰显魅力，传承尧舜之乡文脉</w:t>
      </w:r>
    </w:p>
    <w:p w14:paraId="70BE6439"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第九章 保障重大基础设施，建设安全韧性智慧城市</w:t>
      </w:r>
    </w:p>
    <w:p w14:paraId="57230956" w14:textId="77777777" w:rsidR="00F67A6F" w:rsidRPr="005577CF" w:rsidRDefault="00F67A6F">
      <w:pPr>
        <w:spacing w:line="360" w:lineRule="auto"/>
        <w:ind w:firstLine="640"/>
        <w:rPr>
          <w:rFonts w:ascii="仿宋_GB2312" w:eastAsia="仿宋_GB2312" w:hAnsi="Calibri" w:cs="Times New Roman"/>
          <w:b/>
          <w:bCs/>
          <w:sz w:val="32"/>
          <w:szCs w:val="32"/>
          <w14:ligatures w14:val="none"/>
        </w:rPr>
      </w:pPr>
      <w:r w:rsidRPr="005577CF">
        <w:rPr>
          <w:rFonts w:ascii="仿宋_GB2312" w:eastAsia="仿宋_GB2312" w:hAnsi="Calibri" w:cs="Times New Roman" w:hint="eastAsia"/>
          <w:b/>
          <w:bCs/>
          <w:sz w:val="32"/>
          <w:szCs w:val="32"/>
          <w14:ligatures w14:val="none"/>
        </w:rPr>
        <w:t>第十章 融入区域格局，提升开放联动水平</w:t>
      </w:r>
    </w:p>
    <w:p w14:paraId="76A23F43" w14:textId="544E33B8" w:rsidR="00F67A6F" w:rsidRDefault="00F67A6F">
      <w:pPr>
        <w:spacing w:line="360" w:lineRule="auto"/>
        <w:ind w:firstLine="640"/>
        <w:rPr>
          <w:rFonts w:ascii="仿宋_GB2312" w:eastAsia="仿宋_GB2312" w:hAnsi="Calibri" w:cs="Times New Roman"/>
          <w:sz w:val="32"/>
          <w:szCs w:val="32"/>
          <w14:ligatures w14:val="none"/>
        </w:rPr>
        <w:sectPr w:rsidR="00F67A6F" w:rsidSect="00651035">
          <w:pgSz w:w="11906" w:h="16838"/>
          <w:pgMar w:top="1440" w:right="1440" w:bottom="1440" w:left="1440" w:header="851" w:footer="992" w:gutter="0"/>
          <w:pgNumType w:start="1"/>
          <w:cols w:space="425"/>
          <w:docGrid w:type="lines" w:linePitch="312"/>
        </w:sectPr>
      </w:pPr>
      <w:r w:rsidRPr="005577CF">
        <w:rPr>
          <w:rFonts w:ascii="仿宋_GB2312" w:eastAsia="仿宋_GB2312" w:hAnsi="Calibri" w:cs="Times New Roman" w:hint="eastAsia"/>
          <w:b/>
          <w:bCs/>
          <w:sz w:val="32"/>
          <w:szCs w:val="32"/>
          <w14:ligatures w14:val="none"/>
        </w:rPr>
        <w:t>第十一章 统筹规划实施管理，擘绘一张蓝图</w:t>
      </w:r>
      <w:r w:rsidRPr="005577CF">
        <w:rPr>
          <w:rFonts w:ascii="仿宋_GB2312" w:eastAsia="仿宋_GB2312" w:hAnsi="Calibri" w:cs="Times New Roman" w:hint="eastAsia"/>
          <w:b/>
          <w:bCs/>
          <w:sz w:val="32"/>
          <w:szCs w:val="32"/>
          <w14:ligatures w14:val="none"/>
        </w:rPr>
        <w:cr/>
      </w:r>
      <w:r w:rsidRPr="00F67A6F">
        <w:rPr>
          <w:rFonts w:ascii="仿宋_GB2312" w:eastAsia="仿宋_GB2312" w:hAnsi="Calibri" w:cs="Times New Roman" w:hint="eastAsia"/>
          <w:sz w:val="32"/>
          <w:szCs w:val="32"/>
          <w14:ligatures w14:val="none"/>
        </w:rPr>
        <w:cr/>
      </w:r>
    </w:p>
    <w:p w14:paraId="4961DE55" w14:textId="77777777" w:rsidR="0062582F" w:rsidRDefault="00000000">
      <w:pPr>
        <w:keepNext/>
        <w:keepLines/>
        <w:snapToGrid w:val="0"/>
        <w:spacing w:beforeLines="200" w:before="624" w:afterLines="200" w:after="624" w:line="590" w:lineRule="exact"/>
        <w:jc w:val="center"/>
        <w:rPr>
          <w:rFonts w:ascii="Times New Roman" w:eastAsia="方正小标宋简体" w:hAnsi="Times New Roman" w:cs="Times New Roman"/>
          <w:sz w:val="44"/>
          <w:szCs w:val="44"/>
          <w14:ligatures w14:val="none"/>
        </w:rPr>
      </w:pPr>
      <w:bookmarkStart w:id="16" w:name="_Toc133257926"/>
      <w:r>
        <w:rPr>
          <w:rFonts w:ascii="Times New Roman" w:eastAsia="方正小标宋简体" w:hAnsi="Times New Roman" w:cs="Times New Roman"/>
          <w:sz w:val="44"/>
          <w:szCs w:val="44"/>
          <w14:ligatures w14:val="none"/>
        </w:rPr>
        <w:lastRenderedPageBreak/>
        <w:t>前</w:t>
      </w:r>
      <w:r>
        <w:rPr>
          <w:rFonts w:ascii="Times New Roman" w:eastAsia="方正小标宋简体" w:hAnsi="Times New Roman" w:cs="Times New Roman" w:hint="eastAsia"/>
          <w:sz w:val="44"/>
          <w:szCs w:val="44"/>
          <w14:ligatures w14:val="none"/>
        </w:rPr>
        <w:t xml:space="preserve">   </w:t>
      </w:r>
      <w:r>
        <w:rPr>
          <w:rFonts w:ascii="Times New Roman" w:eastAsia="方正小标宋简体" w:hAnsi="Times New Roman" w:cs="Times New Roman"/>
          <w:sz w:val="44"/>
          <w:szCs w:val="44"/>
          <w14:ligatures w14:val="none"/>
        </w:rPr>
        <w:t>言</w:t>
      </w:r>
      <w:bookmarkEnd w:id="16"/>
    </w:p>
    <w:p w14:paraId="4A9B396C" w14:textId="77777777" w:rsidR="0062582F" w:rsidRDefault="00000000">
      <w:pPr>
        <w:spacing w:line="540" w:lineRule="exact"/>
        <w:ind w:firstLineChars="200" w:firstLine="640"/>
        <w:rPr>
          <w:rFonts w:ascii="仿宋_GB2312" w:eastAsia="宋体" w:hAnsi="仿宋" w:cs="Times New Roman" w:hint="eastAsia"/>
          <w:bCs/>
          <w:color w:val="000000"/>
          <w:kern w:val="0"/>
          <w:sz w:val="24"/>
          <w:szCs w:val="32"/>
          <w14:ligatures w14:val="none"/>
        </w:rPr>
      </w:pPr>
      <w:r>
        <w:rPr>
          <w:rFonts w:ascii="仿宋_GB2312" w:eastAsia="仿宋_GB2312" w:hAnsi="仿宋" w:cs="Times New Roman" w:hint="eastAsia"/>
          <w:bCs/>
          <w:sz w:val="32"/>
          <w:szCs w:val="32"/>
          <w14:ligatures w14:val="none"/>
        </w:rPr>
        <w:t>东至县是安徽省西南门户县，位于长三角一体化</w:t>
      </w:r>
      <w:r>
        <w:rPr>
          <w:rFonts w:ascii="仿宋_GB2312" w:eastAsia="仿宋_GB2312" w:hAnsi="仿宋" w:cs="Times New Roman"/>
          <w:bCs/>
          <w:sz w:val="32"/>
          <w:szCs w:val="32"/>
          <w14:ligatures w14:val="none"/>
        </w:rPr>
        <w:t>发展</w:t>
      </w:r>
      <w:r>
        <w:rPr>
          <w:rFonts w:ascii="仿宋_GB2312" w:eastAsia="仿宋_GB2312" w:hAnsi="仿宋" w:cs="Times New Roman" w:hint="eastAsia"/>
          <w:bCs/>
          <w:sz w:val="32"/>
          <w:szCs w:val="32"/>
          <w14:ligatures w14:val="none"/>
        </w:rPr>
        <w:t>、长江经济带</w:t>
      </w:r>
      <w:r>
        <w:rPr>
          <w:rFonts w:ascii="仿宋_GB2312" w:eastAsia="仿宋_GB2312" w:hAnsi="仿宋" w:cs="Times New Roman"/>
          <w:bCs/>
          <w:sz w:val="32"/>
          <w:szCs w:val="32"/>
          <w14:ligatures w14:val="none"/>
        </w:rPr>
        <w:t>发展、中部崛起、大黄山世界级休闲度假康养旅游目的地</w:t>
      </w:r>
      <w:r>
        <w:rPr>
          <w:rFonts w:ascii="仿宋_GB2312" w:eastAsia="仿宋_GB2312" w:hAnsi="仿宋" w:cs="Times New Roman" w:hint="eastAsia"/>
          <w:bCs/>
          <w:sz w:val="32"/>
          <w:szCs w:val="32"/>
          <w14:ligatures w14:val="none"/>
        </w:rPr>
        <w:t>等多重战略</w:t>
      </w:r>
      <w:r>
        <w:rPr>
          <w:rFonts w:ascii="仿宋_GB2312" w:eastAsia="仿宋_GB2312" w:hAnsi="仿宋" w:cs="Times New Roman"/>
          <w:bCs/>
          <w:sz w:val="32"/>
          <w:szCs w:val="32"/>
          <w14:ligatures w14:val="none"/>
        </w:rPr>
        <w:t>实施地区</w:t>
      </w:r>
      <w:r>
        <w:rPr>
          <w:rFonts w:ascii="仿宋_GB2312" w:eastAsia="仿宋_GB2312" w:hAnsi="仿宋" w:cs="Times New Roman" w:hint="eastAsia"/>
          <w:bCs/>
          <w:sz w:val="32"/>
          <w:szCs w:val="32"/>
          <w14:ligatures w14:val="none"/>
        </w:rPr>
        <w:t>。</w:t>
      </w:r>
    </w:p>
    <w:p w14:paraId="3FF6B635" w14:textId="77777777" w:rsidR="0062582F" w:rsidRDefault="00000000">
      <w:pPr>
        <w:spacing w:line="540" w:lineRule="exact"/>
        <w:ind w:firstLineChars="200" w:firstLine="640"/>
        <w:rPr>
          <w:rFonts w:ascii="仿宋_GB2312" w:eastAsia="仿宋_GB2312" w:hAnsi="仿宋" w:cs="Times New Roman" w:hint="eastAsia"/>
          <w:bCs/>
          <w:sz w:val="32"/>
          <w:szCs w:val="32"/>
          <w14:ligatures w14:val="none"/>
        </w:rPr>
      </w:pPr>
      <w:r>
        <w:rPr>
          <w:rFonts w:ascii="仿宋_GB2312" w:eastAsia="仿宋_GB2312" w:hAnsi="仿宋" w:cs="Times New Roman" w:hint="eastAsia"/>
          <w:bCs/>
          <w:sz w:val="32"/>
          <w:szCs w:val="32"/>
          <w14:ligatures w14:val="none"/>
        </w:rPr>
        <w:t>建立国土空间规划体系并监督实施，是党中央、国务院作出的重大部署。东至县坚持以习近平新时代中国特色社会主义思想为指导，全面贯彻落实党的二十大精神，认真落实习近平总书记关于安徽工作的重要讲话重要指示精神，按照党中央、国务院重大决策部署和省委、省政府要求，依据《全国国土空间规划纲要（</w:t>
      </w:r>
      <w:r>
        <w:rPr>
          <w:rFonts w:ascii="仿宋_GB2312" w:eastAsia="仿宋_GB2312" w:hAnsi="仿宋" w:cs="Times New Roman"/>
          <w:bCs/>
          <w:sz w:val="32"/>
          <w:szCs w:val="32"/>
          <w14:ligatures w14:val="none"/>
        </w:rPr>
        <w:t>2021</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2035年）》《安徽省国土空间规划（2021</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2035年）》《池州市国土空间总体规划（2021</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2035年）》</w:t>
      </w:r>
      <w:r>
        <w:rPr>
          <w:rFonts w:ascii="仿宋_GB2312" w:eastAsia="仿宋_GB2312" w:hAnsi="仿宋" w:cs="Times New Roman" w:hint="eastAsia"/>
          <w:bCs/>
          <w:sz w:val="32"/>
          <w:szCs w:val="32"/>
          <w14:ligatures w14:val="none"/>
        </w:rPr>
        <w:t>，编制《东至县国土空间总体规划（2</w:t>
      </w:r>
      <w:r>
        <w:rPr>
          <w:rFonts w:ascii="仿宋_GB2312" w:eastAsia="仿宋_GB2312" w:hAnsi="仿宋" w:cs="Times New Roman"/>
          <w:bCs/>
          <w:sz w:val="32"/>
          <w:szCs w:val="32"/>
          <w14:ligatures w14:val="none"/>
        </w:rPr>
        <w:t>021</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2035</w:t>
      </w:r>
      <w:r>
        <w:rPr>
          <w:rFonts w:ascii="仿宋_GB2312" w:eastAsia="仿宋_GB2312" w:hAnsi="仿宋" w:cs="Times New Roman" w:hint="eastAsia"/>
          <w:bCs/>
          <w:sz w:val="32"/>
          <w:szCs w:val="32"/>
          <w14:ligatures w14:val="none"/>
        </w:rPr>
        <w:t>年）》</w:t>
      </w:r>
      <w:r>
        <w:rPr>
          <w:rFonts w:ascii="仿宋_GB2312" w:eastAsia="仿宋_GB2312" w:hAnsi="仿宋" w:cs="Times New Roman"/>
          <w:bCs/>
          <w:sz w:val="32"/>
          <w:szCs w:val="32"/>
          <w14:ligatures w14:val="none"/>
        </w:rPr>
        <w:t>，对各类开发保护建设活动提供指导和约束,为全</w:t>
      </w:r>
      <w:r>
        <w:rPr>
          <w:rFonts w:ascii="仿宋_GB2312" w:eastAsia="仿宋_GB2312" w:hAnsi="仿宋" w:cs="Times New Roman" w:hint="eastAsia"/>
          <w:bCs/>
          <w:sz w:val="32"/>
          <w:szCs w:val="32"/>
          <w14:ligatures w14:val="none"/>
        </w:rPr>
        <w:t>县</w:t>
      </w:r>
      <w:r>
        <w:rPr>
          <w:rFonts w:ascii="仿宋_GB2312" w:eastAsia="仿宋_GB2312" w:hAnsi="仿宋" w:cs="Times New Roman"/>
          <w:bCs/>
          <w:sz w:val="32"/>
          <w:szCs w:val="32"/>
          <w14:ligatures w14:val="none"/>
        </w:rPr>
        <w:t>经济</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社会高质量发展提供空间保障。各</w:t>
      </w:r>
      <w:r>
        <w:rPr>
          <w:rFonts w:ascii="仿宋_GB2312" w:eastAsia="仿宋_GB2312" w:hAnsi="仿宋" w:cs="Times New Roman" w:hint="eastAsia"/>
          <w:bCs/>
          <w:sz w:val="32"/>
          <w:szCs w:val="32"/>
          <w14:ligatures w14:val="none"/>
        </w:rPr>
        <w:t>镇</w:t>
      </w:r>
      <w:r>
        <w:rPr>
          <w:rFonts w:ascii="仿宋_GB2312" w:eastAsia="仿宋_GB2312" w:hAnsi="仿宋" w:cs="Times New Roman"/>
          <w:bCs/>
          <w:sz w:val="32"/>
          <w:szCs w:val="32"/>
          <w14:ligatures w14:val="none"/>
        </w:rPr>
        <w:t>级国土空间总体规划、详细规划、相关专项规划和开展各类开发保护建设活动和实施国土空间用途管制应当符合本</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规划</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w:t>
      </w:r>
    </w:p>
    <w:p w14:paraId="76B8DE26" w14:textId="77777777" w:rsidR="0062582F" w:rsidRDefault="00000000">
      <w:pPr>
        <w:spacing w:line="540" w:lineRule="exact"/>
        <w:ind w:firstLineChars="200" w:firstLine="640"/>
        <w:jc w:val="left"/>
        <w:rPr>
          <w:rFonts w:ascii="Times New Roman" w:eastAsia="仿宋_GB2312" w:hAnsi="Times New Roman" w:cs="Times New Roman"/>
          <w:kern w:val="0"/>
          <w:sz w:val="32"/>
          <w:szCs w:val="30"/>
          <w14:ligatures w14:val="none"/>
        </w:rPr>
      </w:pPr>
      <w:r>
        <w:rPr>
          <w:rFonts w:ascii="Times New Roman" w:eastAsia="仿宋_GB2312" w:hAnsi="Times New Roman" w:cs="Times New Roman" w:hint="eastAsia"/>
          <w:kern w:val="0"/>
          <w:sz w:val="32"/>
          <w:szCs w:val="30"/>
          <w14:ligatures w14:val="none"/>
        </w:rPr>
        <w:t>规划范围为东至县行政辖区内的陆域空间。规划期限为</w:t>
      </w:r>
      <w:r>
        <w:rPr>
          <w:rFonts w:ascii="Times New Roman" w:eastAsia="仿宋_GB2312" w:hAnsi="Times New Roman" w:cs="Times New Roman"/>
          <w:kern w:val="0"/>
          <w:sz w:val="32"/>
          <w:szCs w:val="30"/>
          <w14:ligatures w14:val="none"/>
        </w:rPr>
        <w:t>2021</w:t>
      </w:r>
      <w:r>
        <w:rPr>
          <w:rFonts w:ascii="Times New Roman" w:eastAsia="仿宋_GB2312" w:hAnsi="Times New Roman" w:cs="Times New Roman" w:hint="eastAsia"/>
          <w:kern w:val="0"/>
          <w:sz w:val="32"/>
          <w:szCs w:val="30"/>
          <w14:ligatures w14:val="none"/>
        </w:rPr>
        <w:t>至</w:t>
      </w:r>
      <w:r>
        <w:rPr>
          <w:rFonts w:ascii="Times New Roman" w:eastAsia="仿宋_GB2312" w:hAnsi="Times New Roman" w:cs="Times New Roman"/>
          <w:kern w:val="0"/>
          <w:sz w:val="32"/>
          <w:szCs w:val="30"/>
          <w14:ligatures w14:val="none"/>
        </w:rPr>
        <w:t>2035</w:t>
      </w:r>
      <w:r>
        <w:rPr>
          <w:rFonts w:ascii="Times New Roman" w:eastAsia="仿宋_GB2312" w:hAnsi="Times New Roman" w:cs="Times New Roman" w:hint="eastAsia"/>
          <w:kern w:val="0"/>
          <w:sz w:val="32"/>
          <w:szCs w:val="30"/>
          <w14:ligatures w14:val="none"/>
        </w:rPr>
        <w:t>年，远景展望至</w:t>
      </w:r>
      <w:r>
        <w:rPr>
          <w:rFonts w:ascii="Times New Roman" w:eastAsia="仿宋_GB2312" w:hAnsi="Times New Roman" w:cs="Times New Roman" w:hint="eastAsia"/>
          <w:kern w:val="0"/>
          <w:sz w:val="32"/>
          <w:szCs w:val="30"/>
          <w14:ligatures w14:val="none"/>
        </w:rPr>
        <w:t>2</w:t>
      </w:r>
      <w:r>
        <w:rPr>
          <w:rFonts w:ascii="Times New Roman" w:eastAsia="仿宋_GB2312" w:hAnsi="Times New Roman" w:cs="Times New Roman"/>
          <w:kern w:val="0"/>
          <w:sz w:val="32"/>
          <w:szCs w:val="30"/>
          <w14:ligatures w14:val="none"/>
        </w:rPr>
        <w:t>050</w:t>
      </w:r>
      <w:r>
        <w:rPr>
          <w:rFonts w:ascii="Times New Roman" w:eastAsia="仿宋_GB2312" w:hAnsi="Times New Roman" w:cs="Times New Roman" w:hint="eastAsia"/>
          <w:kern w:val="0"/>
          <w:sz w:val="32"/>
          <w:szCs w:val="30"/>
          <w14:ligatures w14:val="none"/>
        </w:rPr>
        <w:t>年。</w:t>
      </w:r>
    </w:p>
    <w:p w14:paraId="2D2F6246" w14:textId="48528FAB" w:rsidR="0062582F" w:rsidRDefault="00000000">
      <w:pPr>
        <w:spacing w:line="540" w:lineRule="exact"/>
        <w:ind w:firstLineChars="200" w:firstLine="640"/>
        <w:jc w:val="left"/>
        <w:rPr>
          <w:rFonts w:ascii="Times New Roman" w:eastAsia="仿宋_GB2312" w:hAnsi="Times New Roman" w:cs="Times New Roman"/>
          <w:kern w:val="0"/>
          <w:sz w:val="32"/>
          <w:szCs w:val="30"/>
          <w14:ligatures w14:val="none"/>
        </w:rPr>
      </w:pPr>
      <w:r>
        <w:rPr>
          <w:rFonts w:ascii="Times New Roman" w:eastAsia="仿宋_GB2312" w:hAnsi="Times New Roman" w:cs="Times New Roman"/>
          <w:kern w:val="0"/>
          <w:sz w:val="32"/>
          <w:szCs w:val="30"/>
          <w14:ligatures w14:val="none"/>
        </w:rPr>
        <w:br w:type="page"/>
      </w:r>
    </w:p>
    <w:p w14:paraId="0DD9E4AF"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17" w:name="_Toc164695070"/>
      <w:r>
        <w:rPr>
          <w:rFonts w:ascii="方正小标宋简体" w:eastAsia="方正小标宋简体" w:hAnsi="Times New Roman" w:cs="Times New Roman" w:hint="eastAsia"/>
          <w:b/>
          <w:bCs/>
          <w:kern w:val="44"/>
          <w:sz w:val="44"/>
          <w:szCs w:val="44"/>
          <w14:ligatures w14:val="none"/>
        </w:rPr>
        <w:lastRenderedPageBreak/>
        <w:t>第一章</w:t>
      </w:r>
      <w:r>
        <w:rPr>
          <w:rFonts w:ascii="方正小标宋简体" w:eastAsia="方正小标宋简体" w:hAnsi="Times New Roman" w:cs="Times New Roman"/>
          <w:b/>
          <w:bCs/>
          <w:kern w:val="44"/>
          <w:sz w:val="44"/>
          <w:szCs w:val="44"/>
          <w14:ligatures w14:val="none"/>
        </w:rPr>
        <w:tab/>
      </w:r>
      <w:r>
        <w:rPr>
          <w:rFonts w:ascii="方正小标宋简体" w:eastAsia="方正小标宋简体" w:hAnsi="Times New Roman" w:cs="Times New Roman" w:hint="eastAsia"/>
          <w:b/>
          <w:bCs/>
          <w:kern w:val="44"/>
          <w:sz w:val="44"/>
          <w:szCs w:val="44"/>
          <w14:ligatures w14:val="none"/>
        </w:rPr>
        <w:t>规划基础</w:t>
      </w:r>
      <w:bookmarkEnd w:id="17"/>
    </w:p>
    <w:p w14:paraId="7B26CB76" w14:textId="77777777" w:rsidR="0062582F" w:rsidRDefault="00000000">
      <w:pPr>
        <w:adjustRightInd w:val="0"/>
        <w:spacing w:line="600" w:lineRule="exact"/>
        <w:ind w:firstLineChars="200" w:firstLine="640"/>
        <w:rPr>
          <w:rFonts w:ascii="仿宋_GB2312" w:eastAsia="仿宋_GB2312" w:hAnsi="Calibri" w:cs="Times New Roman"/>
          <w:sz w:val="32"/>
          <w:szCs w:val="32"/>
          <w14:ligatures w14:val="none"/>
        </w:rPr>
      </w:pPr>
      <w:r>
        <w:rPr>
          <w:rFonts w:ascii="仿宋_GB2312" w:eastAsia="仿宋_GB2312" w:hAnsi="Calibri" w:cs="Times New Roman" w:hint="eastAsia"/>
          <w:sz w:val="32"/>
          <w:szCs w:val="32"/>
          <w14:ligatures w14:val="none"/>
        </w:rPr>
        <w:t>当前，东至县处于重要发展机遇期，面对日趋紧束的资源环境和明显增强的不确定性因素，必须坚持底线思维、系统观念，充分认识国土空间开发保护存在的问题与面临的挑战，提高国土空间治理能力现代化水平。</w:t>
      </w:r>
    </w:p>
    <w:p w14:paraId="1A586F6C"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8" w:name="_Toc164695071"/>
      <w:r>
        <w:rPr>
          <w:rFonts w:ascii="黑体" w:eastAsia="黑体" w:hAnsi="黑体" w:cs="Times New Roman" w:hint="eastAsia"/>
          <w:b/>
          <w:bCs/>
          <w:sz w:val="32"/>
          <w:szCs w:val="32"/>
          <w14:ligatures w14:val="none"/>
        </w:rPr>
        <w:t>第一节 地理格局与资源禀赋</w:t>
      </w:r>
      <w:bookmarkEnd w:id="18"/>
    </w:p>
    <w:p w14:paraId="4DB737F5" w14:textId="77777777" w:rsidR="0062582F" w:rsidRDefault="00000000">
      <w:pPr>
        <w:spacing w:line="600" w:lineRule="exact"/>
        <w:ind w:firstLineChars="200" w:firstLine="640"/>
        <w:rPr>
          <w:rFonts w:ascii="Times New Roman" w:eastAsia="仿宋_GB2312" w:hAnsi="Times New Roman" w:cs="Times New Roman"/>
          <w:b/>
          <w:bCs/>
          <w:kern w:val="0"/>
          <w:sz w:val="32"/>
          <w:szCs w:val="30"/>
          <w14:ligatures w14:val="none"/>
        </w:rPr>
      </w:pPr>
      <w:r>
        <w:rPr>
          <w:rFonts w:ascii="Calibri" w:eastAsia="楷体" w:hAnsi="Calibri" w:cs="Times New Roman" w:hint="eastAsia"/>
          <w:bCs/>
          <w:kern w:val="0"/>
          <w:sz w:val="32"/>
          <w14:ligatures w14:val="none"/>
        </w:rPr>
        <w:t>承东接西，左右逢源的区位特征。</w:t>
      </w:r>
      <w:r>
        <w:rPr>
          <w:rFonts w:ascii="Times New Roman" w:eastAsia="仿宋_GB2312" w:hAnsi="Times New Roman" w:cs="Times New Roman" w:hint="eastAsia"/>
          <w:kern w:val="0"/>
          <w:sz w:val="32"/>
          <w:szCs w:val="30"/>
          <w14:ligatures w14:val="none"/>
        </w:rPr>
        <w:t>东至县东与贵池区、石台县、祁门县接壤，南及西南与江西省浮梁县、鄱阳县、彭泽县毗邻，西北与安庆市和怀宁县、望江县隔江相望，</w:t>
      </w:r>
      <w:r>
        <w:rPr>
          <w:rFonts w:ascii="仿宋_GB2312" w:eastAsia="仿宋_GB2312" w:hAnsi="Times New Roman" w:cs="Times New Roman" w:hint="eastAsia"/>
          <w:bCs/>
          <w:sz w:val="32"/>
          <w:szCs w:val="32"/>
          <w14:ligatures w14:val="none"/>
        </w:rPr>
        <w:t>处长江安徽段南岸之首</w:t>
      </w:r>
      <w:r>
        <w:rPr>
          <w:rFonts w:ascii="Times New Roman" w:eastAsia="仿宋_GB2312" w:hAnsi="Times New Roman" w:cs="Times New Roman" w:hint="eastAsia"/>
          <w:kern w:val="0"/>
          <w:sz w:val="32"/>
          <w:szCs w:val="30"/>
          <w14:ligatures w14:val="none"/>
        </w:rPr>
        <w:t>，是长三角地区和长江中游城市群的节点地区。</w:t>
      </w:r>
    </w:p>
    <w:p w14:paraId="08EA94EA" w14:textId="77777777" w:rsidR="0062582F" w:rsidRDefault="00000000">
      <w:pPr>
        <w:spacing w:line="600" w:lineRule="exact"/>
        <w:ind w:firstLineChars="200" w:firstLine="640"/>
        <w:rPr>
          <w:rFonts w:ascii="Times New Roman" w:eastAsia="仿宋_GB2312" w:hAnsi="Times New Roman" w:cs="Times New Roman"/>
          <w:kern w:val="0"/>
          <w:sz w:val="32"/>
          <w:szCs w:val="30"/>
          <w14:ligatures w14:val="none"/>
        </w:rPr>
      </w:pPr>
      <w:r>
        <w:rPr>
          <w:rFonts w:ascii="Calibri" w:eastAsia="楷体" w:hAnsi="Calibri" w:cs="Times New Roman" w:hint="eastAsia"/>
          <w:bCs/>
          <w:kern w:val="0"/>
          <w:sz w:val="32"/>
          <w14:ligatures w14:val="none"/>
        </w:rPr>
        <w:t>南丘北圩、高低错落的地形地貌。</w:t>
      </w:r>
      <w:r>
        <w:rPr>
          <w:rFonts w:ascii="Times New Roman" w:eastAsia="仿宋_GB2312" w:hAnsi="Times New Roman" w:cs="Times New Roman" w:hint="eastAsia"/>
          <w:kern w:val="0"/>
          <w:sz w:val="32"/>
          <w:szCs w:val="30"/>
          <w14:ligatures w14:val="none"/>
        </w:rPr>
        <w:t>东至跨长江平原与皖南山区，全县山峦叠起，地形南高北低。</w:t>
      </w:r>
      <w:r>
        <w:rPr>
          <w:rFonts w:ascii="Times New Roman" w:eastAsia="仿宋_GB2312" w:hAnsi="Times New Roman" w:cs="Times New Roman"/>
          <w:kern w:val="0"/>
          <w:sz w:val="32"/>
          <w:szCs w:val="30"/>
          <w14:ligatures w14:val="none"/>
        </w:rPr>
        <w:t>南部为山区和丘陵地带，</w:t>
      </w:r>
      <w:r>
        <w:rPr>
          <w:rFonts w:ascii="Times New Roman" w:eastAsia="仿宋_GB2312" w:hAnsi="Times New Roman" w:cs="Times New Roman" w:hint="eastAsia"/>
          <w:kern w:val="0"/>
          <w:sz w:val="32"/>
          <w:szCs w:val="30"/>
          <w14:ligatures w14:val="none"/>
        </w:rPr>
        <w:t>最高点为中南部仙寓山，海拔</w:t>
      </w:r>
      <w:r>
        <w:rPr>
          <w:rFonts w:ascii="Times New Roman" w:eastAsia="仿宋_GB2312" w:hAnsi="Times New Roman" w:cs="Times New Roman" w:hint="eastAsia"/>
          <w:kern w:val="0"/>
          <w:sz w:val="32"/>
          <w:szCs w:val="30"/>
          <w14:ligatures w14:val="none"/>
        </w:rPr>
        <w:t>1375.7</w:t>
      </w:r>
      <w:r>
        <w:rPr>
          <w:rFonts w:ascii="Times New Roman" w:eastAsia="仿宋_GB2312" w:hAnsi="Times New Roman" w:cs="Times New Roman" w:hint="eastAsia"/>
          <w:kern w:val="0"/>
          <w:sz w:val="32"/>
          <w:szCs w:val="30"/>
          <w14:ligatures w14:val="none"/>
        </w:rPr>
        <w:t>米。</w:t>
      </w:r>
      <w:r>
        <w:rPr>
          <w:rFonts w:ascii="Times New Roman" w:eastAsia="仿宋_GB2312" w:hAnsi="Times New Roman" w:cs="Times New Roman"/>
          <w:kern w:val="0"/>
          <w:sz w:val="32"/>
          <w:szCs w:val="30"/>
          <w14:ligatures w14:val="none"/>
        </w:rPr>
        <w:t>北部为沿江圩</w:t>
      </w:r>
      <w:r>
        <w:rPr>
          <w:rFonts w:ascii="Times New Roman" w:eastAsia="仿宋_GB2312" w:hAnsi="Times New Roman" w:cs="Times New Roman" w:hint="eastAsia"/>
          <w:kern w:val="0"/>
          <w:sz w:val="32"/>
          <w:szCs w:val="30"/>
          <w14:ligatures w14:val="none"/>
        </w:rPr>
        <w:t>，最低点为沿江河漫滩地，海拔仅</w:t>
      </w:r>
      <w:r>
        <w:rPr>
          <w:rFonts w:ascii="Times New Roman" w:eastAsia="仿宋_GB2312" w:hAnsi="Times New Roman" w:cs="Times New Roman" w:hint="eastAsia"/>
          <w:kern w:val="0"/>
          <w:sz w:val="32"/>
          <w:szCs w:val="30"/>
          <w14:ligatures w14:val="none"/>
        </w:rPr>
        <w:t>10</w:t>
      </w:r>
      <w:r>
        <w:rPr>
          <w:rFonts w:ascii="Times New Roman" w:eastAsia="仿宋_GB2312" w:hAnsi="Times New Roman" w:cs="Times New Roman" w:hint="eastAsia"/>
          <w:kern w:val="0"/>
          <w:sz w:val="32"/>
          <w:szCs w:val="30"/>
          <w14:ligatures w14:val="none"/>
        </w:rPr>
        <w:t>米。县域自然地理格局可以概括为“七山一水一分田，一分道路和庄园”。</w:t>
      </w:r>
    </w:p>
    <w:p w14:paraId="2A5F7F7E" w14:textId="77777777" w:rsidR="0062582F" w:rsidRDefault="00000000">
      <w:pPr>
        <w:autoSpaceDE w:val="0"/>
        <w:autoSpaceDN w:val="0"/>
        <w:spacing w:before="48"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襟江带湖，丰富多样的自然资源。</w:t>
      </w:r>
      <w:r>
        <w:rPr>
          <w:rFonts w:ascii="仿宋_GB2312" w:eastAsia="仿宋_GB2312" w:hAnsi="仿宋" w:cs="Times New Roman" w:hint="eastAsia"/>
          <w:bCs/>
          <w:sz w:val="32"/>
          <w:szCs w:val="32"/>
          <w14:ligatures w14:val="none"/>
        </w:rPr>
        <w:t>东至县属北亚热带季风气候区，气候温和，四季分明，生态环境优美，为国家级生态县和省级森林城市。水系发达、湖泊众多，水域面积3</w:t>
      </w:r>
      <w:r>
        <w:rPr>
          <w:rFonts w:ascii="仿宋_GB2312" w:eastAsia="仿宋_GB2312" w:hAnsi="仿宋" w:cs="Times New Roman"/>
          <w:bCs/>
          <w:sz w:val="32"/>
          <w:szCs w:val="32"/>
          <w14:ligatures w14:val="none"/>
        </w:rPr>
        <w:t>04.29</w:t>
      </w:r>
      <w:r>
        <w:rPr>
          <w:rFonts w:ascii="仿宋_GB2312" w:eastAsia="仿宋_GB2312" w:hAnsi="仿宋" w:cs="Times New Roman" w:hint="eastAsia"/>
          <w:bCs/>
          <w:sz w:val="32"/>
          <w:szCs w:val="32"/>
          <w14:ligatures w14:val="none"/>
        </w:rPr>
        <w:t>平方千米，占国土总面积的9</w:t>
      </w:r>
      <w:r>
        <w:rPr>
          <w:rFonts w:ascii="仿宋_GB2312" w:eastAsia="仿宋_GB2312" w:hAnsi="仿宋" w:cs="Times New Roman"/>
          <w:bCs/>
          <w:sz w:val="32"/>
          <w:szCs w:val="32"/>
          <w14:ligatures w14:val="none"/>
        </w:rPr>
        <w:t>.36%</w:t>
      </w:r>
      <w:r>
        <w:rPr>
          <w:rFonts w:ascii="仿宋_GB2312" w:eastAsia="仿宋_GB2312" w:hAnsi="仿宋" w:cs="Times New Roman" w:hint="eastAsia"/>
          <w:bCs/>
          <w:sz w:val="32"/>
          <w:szCs w:val="32"/>
          <w14:ligatures w14:val="none"/>
        </w:rPr>
        <w:t>。</w:t>
      </w:r>
    </w:p>
    <w:p w14:paraId="1BA4096C" w14:textId="77777777" w:rsidR="0062582F" w:rsidRDefault="00000000">
      <w:pPr>
        <w:spacing w:line="600" w:lineRule="exact"/>
        <w:ind w:firstLineChars="200" w:firstLine="640"/>
        <w:rPr>
          <w:rFonts w:ascii="仿宋" w:eastAsia="宋体" w:hAnsi="仿宋" w:cs="仿宋" w:hint="eastAsia"/>
          <w:color w:val="000000"/>
          <w:kern w:val="0"/>
          <w:sz w:val="24"/>
          <w:szCs w:val="24"/>
          <w14:ligatures w14:val="none"/>
        </w:rPr>
      </w:pPr>
      <w:r>
        <w:rPr>
          <w:rFonts w:ascii="Calibri" w:eastAsia="楷体" w:hAnsi="Calibri" w:cs="Times New Roman" w:hint="eastAsia"/>
          <w:bCs/>
          <w:kern w:val="0"/>
          <w:sz w:val="32"/>
          <w14:ligatures w14:val="none"/>
        </w:rPr>
        <w:t>人杰地灵，星罗棋布的文旅资源。</w:t>
      </w:r>
      <w:r>
        <w:rPr>
          <w:rFonts w:ascii="仿宋_GB2312" w:eastAsia="仿宋_GB2312" w:hAnsi="仿宋" w:cs="Times New Roman"/>
          <w:bCs/>
          <w:sz w:val="32"/>
          <w:szCs w:val="32"/>
          <w14:ligatures w14:val="none"/>
        </w:rPr>
        <w:t>东至县境内有尧渡之河、</w:t>
      </w:r>
      <w:r>
        <w:rPr>
          <w:rFonts w:ascii="仿宋_GB2312" w:eastAsia="仿宋_GB2312" w:hAnsi="仿宋" w:cs="Times New Roman"/>
          <w:bCs/>
          <w:sz w:val="32"/>
          <w:szCs w:val="32"/>
          <w14:ligatures w14:val="none"/>
        </w:rPr>
        <w:lastRenderedPageBreak/>
        <w:t>舜耕之山，素有</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尧舜之乡</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之称，传说</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舜帝躬耕于此，尧帝闻其贤德，千里来访</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。千年古镇东流取北宋大诗人黄庭坚</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沧江百折来，及此始东流</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诗句中的</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东流</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而得名。晋代陶渊明曾隐居东流艺菊，留下了</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采菊东篱下，悠然见南山</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的千古名句</w:t>
      </w:r>
      <w:r>
        <w:rPr>
          <w:rFonts w:ascii="仿宋_GB2312" w:eastAsia="仿宋_GB2312" w:hAnsi="仿宋" w:cs="Times New Roman" w:hint="eastAsia"/>
          <w:bCs/>
          <w:sz w:val="32"/>
          <w:szCs w:val="32"/>
          <w14:ligatures w14:val="none"/>
        </w:rPr>
        <w:t>，历史文化遗存丰富。</w:t>
      </w:r>
      <w:r>
        <w:rPr>
          <w:rFonts w:ascii="仿宋_GB2312" w:eastAsia="仿宋_GB2312" w:hAnsi="仿宋" w:cs="Times New Roman"/>
          <w:bCs/>
          <w:sz w:val="32"/>
          <w:szCs w:val="32"/>
          <w14:ligatures w14:val="none"/>
        </w:rPr>
        <w:t>境内有国际重要湿地、</w:t>
      </w:r>
      <w:r>
        <w:rPr>
          <w:rFonts w:ascii="仿宋_GB2312" w:eastAsia="仿宋_GB2312" w:hAnsi="仿宋" w:cs="Times New Roman" w:hint="eastAsia"/>
          <w:bCs/>
          <w:sz w:val="32"/>
          <w:szCs w:val="32"/>
          <w14:ligatures w14:val="none"/>
        </w:rPr>
        <w:t>安徽升金湖国家级自然保护区、</w:t>
      </w:r>
      <w:r>
        <w:rPr>
          <w:rFonts w:ascii="仿宋_GB2312" w:eastAsia="仿宋_GB2312" w:hAnsi="仿宋" w:cs="Times New Roman"/>
          <w:bCs/>
          <w:sz w:val="32"/>
          <w:szCs w:val="32"/>
          <w14:ligatures w14:val="none"/>
        </w:rPr>
        <w:t>省级风景名胜区历山</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东流古文化区</w:t>
      </w:r>
      <w:r>
        <w:rPr>
          <w:rFonts w:ascii="仿宋_GB2312" w:eastAsia="仿宋_GB2312" w:hAnsi="仿宋" w:cs="Times New Roman" w:hint="eastAsia"/>
          <w:bCs/>
          <w:sz w:val="32"/>
          <w:szCs w:val="32"/>
          <w14:ligatures w14:val="none"/>
        </w:rPr>
        <w:t>、</w:t>
      </w:r>
      <w:r>
        <w:rPr>
          <w:rFonts w:ascii="仿宋_GB2312" w:eastAsia="仿宋_GB2312" w:hAnsi="仿宋" w:cs="Times New Roman"/>
          <w:bCs/>
          <w:sz w:val="32"/>
          <w:szCs w:val="32"/>
          <w14:ligatures w14:val="none"/>
        </w:rPr>
        <w:t>仙寓山</w:t>
      </w:r>
      <w:r>
        <w:rPr>
          <w:rFonts w:ascii="仿宋_GB2312" w:eastAsia="仿宋_GB2312" w:hAnsi="仿宋" w:cs="Times New Roman"/>
          <w:bCs/>
          <w:sz w:val="32"/>
          <w:szCs w:val="32"/>
          <w14:ligatures w14:val="none"/>
        </w:rPr>
        <w:t>·</w:t>
      </w:r>
      <w:r>
        <w:rPr>
          <w:rFonts w:ascii="仿宋_GB2312" w:eastAsia="仿宋_GB2312" w:hAnsi="仿宋" w:cs="Times New Roman"/>
          <w:bCs/>
          <w:sz w:val="32"/>
          <w:szCs w:val="32"/>
          <w14:ligatures w14:val="none"/>
        </w:rPr>
        <w:t>南溪古寨旅游区等</w:t>
      </w:r>
      <w:r>
        <w:rPr>
          <w:rFonts w:ascii="仿宋_GB2312" w:eastAsia="仿宋_GB2312" w:hAnsi="仿宋" w:cs="Times New Roman" w:hint="eastAsia"/>
          <w:bCs/>
          <w:sz w:val="32"/>
          <w:szCs w:val="32"/>
          <w14:ligatures w14:val="none"/>
        </w:rPr>
        <w:t>文旅</w:t>
      </w:r>
      <w:r>
        <w:rPr>
          <w:rFonts w:ascii="仿宋_GB2312" w:eastAsia="仿宋_GB2312" w:hAnsi="仿宋" w:cs="Times New Roman"/>
          <w:bCs/>
          <w:sz w:val="32"/>
          <w:szCs w:val="32"/>
          <w14:ligatures w14:val="none"/>
        </w:rPr>
        <w:t>资源。</w:t>
      </w:r>
    </w:p>
    <w:p w14:paraId="7F0A2F80"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9" w:name="_Toc122522335"/>
      <w:bookmarkStart w:id="20" w:name="_Toc164695072"/>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bookmarkEnd w:id="19"/>
      <w:r>
        <w:rPr>
          <w:rFonts w:ascii="黑体" w:eastAsia="黑体" w:hAnsi="黑体" w:cs="Times New Roman" w:hint="eastAsia"/>
          <w:b/>
          <w:bCs/>
          <w:sz w:val="32"/>
          <w:szCs w:val="32"/>
          <w14:ligatures w14:val="none"/>
        </w:rPr>
        <w:t>基础评价与现状问题</w:t>
      </w:r>
      <w:bookmarkEnd w:id="20"/>
    </w:p>
    <w:p w14:paraId="44CD3557" w14:textId="1A7B9712" w:rsidR="0062582F" w:rsidRDefault="00000000">
      <w:pPr>
        <w:autoSpaceDE w:val="0"/>
        <w:autoSpaceDN w:val="0"/>
        <w:spacing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国土空间资源环境承载能力持续加强。</w:t>
      </w:r>
      <w:r>
        <w:rPr>
          <w:rFonts w:ascii="仿宋_GB2312" w:eastAsia="仿宋_GB2312" w:hAnsi="仿宋" w:cs="Times New Roman" w:hint="eastAsia"/>
          <w:bCs/>
          <w:sz w:val="32"/>
          <w:szCs w:val="32"/>
          <w14:ligatures w14:val="none"/>
        </w:rPr>
        <w:t>整体上资源环境承载能力较高，县域尧渡镇、东流镇、香隅镇、大渡口镇、胜利镇等地势较为平坦的区域适宜于农业生产和城镇建设。</w:t>
      </w:r>
    </w:p>
    <w:p w14:paraId="0F841D8E" w14:textId="6B2E698C" w:rsidR="0062582F" w:rsidRDefault="00000000">
      <w:pPr>
        <w:autoSpaceDE w:val="0"/>
        <w:autoSpaceDN w:val="0"/>
        <w:spacing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国土空间开发保护格局逐步优化。</w:t>
      </w:r>
      <w:r>
        <w:rPr>
          <w:rFonts w:ascii="仿宋_GB2312" w:eastAsia="仿宋_GB2312" w:hAnsi="仿宋" w:cs="Times New Roman" w:hint="eastAsia"/>
          <w:bCs/>
          <w:sz w:val="32"/>
          <w:szCs w:val="32"/>
          <w14:ligatures w14:val="none"/>
        </w:rPr>
        <w:t>农业生产空间持续巩固，农业生产空间布局逐步优化，城市周边水土保持监测体系建设逐步完善，长江岸线生态修复绿化、矿山生态修复效果明显。城镇集聚效应更加凸显，中心城区辐射带动能力不断提升，沿江城镇发展带逐步形成，重大产业项目向两个省级经济开发区集中发展。</w:t>
      </w:r>
    </w:p>
    <w:p w14:paraId="5A6E86FC" w14:textId="77777777" w:rsidR="0062582F" w:rsidRDefault="00000000">
      <w:pPr>
        <w:autoSpaceDE w:val="0"/>
        <w:autoSpaceDN w:val="0"/>
        <w:spacing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国土空间设施网络逐步构建。</w:t>
      </w:r>
      <w:r>
        <w:rPr>
          <w:rFonts w:ascii="仿宋_GB2312" w:eastAsia="仿宋_GB2312" w:hAnsi="仿宋" w:cs="Times New Roman" w:hint="eastAsia"/>
          <w:bCs/>
          <w:sz w:val="32"/>
          <w:szCs w:val="32"/>
          <w14:ligatures w14:val="none"/>
        </w:rPr>
        <w:t>道路交通体系持续优化升级，已形成2个港区、1条铁路、4条高速、4条国道、3条省道的交通网络。城乡公共服务设施统筹布局，县域教育、医疗卫生等公共服务设施在规模与空间布局上不断完善，给水、电力、燃气等设</w:t>
      </w:r>
      <w:r>
        <w:rPr>
          <w:rFonts w:ascii="仿宋_GB2312" w:eastAsia="仿宋_GB2312" w:hAnsi="仿宋" w:cs="Times New Roman" w:hint="eastAsia"/>
          <w:bCs/>
          <w:sz w:val="32"/>
          <w:szCs w:val="32"/>
          <w14:ligatures w14:val="none"/>
        </w:rPr>
        <w:lastRenderedPageBreak/>
        <w:t>施民意调查满意度较高。</w:t>
      </w:r>
    </w:p>
    <w:p w14:paraId="5D3D4670" w14:textId="77777777" w:rsidR="0062582F" w:rsidRDefault="00000000">
      <w:pPr>
        <w:autoSpaceDE w:val="0"/>
        <w:autoSpaceDN w:val="0"/>
        <w:spacing w:line="600" w:lineRule="exact"/>
        <w:ind w:firstLineChars="200" w:firstLine="640"/>
        <w:rPr>
          <w:rFonts w:ascii="仿宋_GB2312" w:eastAsia="宋体" w:hAnsi="仿宋" w:cs="Times New Roman" w:hint="eastAsia"/>
          <w:bCs/>
          <w:color w:val="000000"/>
          <w:kern w:val="0"/>
          <w:sz w:val="24"/>
          <w:szCs w:val="32"/>
          <w14:ligatures w14:val="none"/>
        </w:rPr>
      </w:pPr>
      <w:r>
        <w:rPr>
          <w:rFonts w:ascii="仿宋_GB2312" w:eastAsia="仿宋_GB2312" w:hAnsi="仿宋" w:cs="Times New Roman" w:hint="eastAsia"/>
          <w:bCs/>
          <w:sz w:val="32"/>
          <w:szCs w:val="32"/>
          <w14:ligatures w14:val="none"/>
        </w:rPr>
        <w:t>同时，东至县在国土空间开发保护方面仍存在一些问题。</w:t>
      </w:r>
    </w:p>
    <w:p w14:paraId="12C42F2D" w14:textId="5EF01B0E" w:rsidR="0062582F" w:rsidRDefault="00000000">
      <w:pPr>
        <w:autoSpaceDE w:val="0"/>
        <w:autoSpaceDN w:val="0"/>
        <w:spacing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耕地保护空间亟待协调。</w:t>
      </w:r>
      <w:r>
        <w:rPr>
          <w:rFonts w:ascii="仿宋_GB2312" w:eastAsia="仿宋_GB2312" w:hAnsi="仿宋" w:cs="Times New Roman" w:hint="eastAsia"/>
          <w:bCs/>
          <w:sz w:val="32"/>
          <w:szCs w:val="32"/>
          <w14:ligatures w14:val="none"/>
        </w:rPr>
        <w:t>东至县受地形地貌影响，可供耕作的土地资源有限且集中于沿江区域，耕地占补平衡压力较大，东至县城镇建设和农业生产潜力区域高度重叠。</w:t>
      </w:r>
    </w:p>
    <w:p w14:paraId="0B5287D3" w14:textId="1B7CED15" w:rsidR="0062582F" w:rsidRDefault="00000000">
      <w:pPr>
        <w:autoSpaceDE w:val="0"/>
        <w:autoSpaceDN w:val="0"/>
        <w:adjustRightInd w:val="0"/>
        <w:spacing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生态安全格局仍需夯实。</w:t>
      </w:r>
      <w:r>
        <w:rPr>
          <w:rFonts w:ascii="仿宋_GB2312" w:eastAsia="仿宋_GB2312" w:hAnsi="仿宋" w:cs="Times New Roman" w:hint="eastAsia"/>
          <w:bCs/>
          <w:sz w:val="32"/>
          <w:szCs w:val="32"/>
          <w14:ligatures w14:val="none"/>
        </w:rPr>
        <w:t>生态保护红线与部分城镇建成区、村庄、人工商品林等存在交叉重叠现象。随着人口城镇化、产业发展集聚化和旅游服务设施建设，对协调城镇空间、产业空间与生态空间提出了更高要求。同时东至县县域内现有长江堤防、沿升金湖堤防及尧渡河、龙泉河、黄湓河堤防仍需进一步提升，提高防洪安全。</w:t>
      </w:r>
    </w:p>
    <w:p w14:paraId="78315F26" w14:textId="7D28006B" w:rsidR="0062582F" w:rsidRDefault="00000000">
      <w:pPr>
        <w:autoSpaceDE w:val="0"/>
        <w:autoSpaceDN w:val="0"/>
        <w:spacing w:line="600" w:lineRule="exact"/>
        <w:ind w:firstLineChars="200" w:firstLine="640"/>
        <w:rPr>
          <w:rFonts w:ascii="仿宋_GB2312" w:eastAsia="仿宋_GB2312" w:hAnsi="仿宋" w:cs="Times New Roman" w:hint="eastAsia"/>
          <w:b/>
          <w:sz w:val="36"/>
          <w:szCs w:val="36"/>
          <w14:ligatures w14:val="none"/>
        </w:rPr>
      </w:pPr>
      <w:r>
        <w:rPr>
          <w:rFonts w:ascii="Calibri" w:eastAsia="楷体" w:hAnsi="Calibri" w:cs="Times New Roman" w:hint="eastAsia"/>
          <w:bCs/>
          <w:kern w:val="0"/>
          <w:sz w:val="32"/>
          <w14:ligatures w14:val="none"/>
        </w:rPr>
        <w:t>城乡宜居品质亟待提升。</w:t>
      </w:r>
      <w:r>
        <w:rPr>
          <w:rFonts w:ascii="仿宋_GB2312" w:eastAsia="仿宋_GB2312" w:hAnsi="仿宋" w:cs="Times New Roman" w:hint="eastAsia"/>
          <w:bCs/>
          <w:sz w:val="32"/>
          <w:szCs w:val="32"/>
          <w14:ligatures w14:val="none"/>
        </w:rPr>
        <w:t>全县公共服务设施体系仍需完善，县级公共服务设施配置不足且高度集中在老城区和舜城片区，菊城片区现有配套设施不足且难以发挥片区服务作用；东至县多依托周边山体郊野公园、沿河景观带作为休闲游憩场所，主要分布在城市外围，城市内部公园绿地总量仍需增加</w:t>
      </w:r>
      <w:r w:rsidR="00265231">
        <w:rPr>
          <w:rFonts w:ascii="仿宋_GB2312" w:eastAsia="仿宋_GB2312" w:hAnsi="仿宋" w:cs="Times New Roman" w:hint="eastAsia"/>
          <w:bCs/>
          <w:sz w:val="32"/>
          <w:szCs w:val="32"/>
          <w14:ligatures w14:val="none"/>
        </w:rPr>
        <w:t>。</w:t>
      </w:r>
      <w:r>
        <w:rPr>
          <w:rFonts w:ascii="仿宋_GB2312" w:eastAsia="仿宋_GB2312" w:hAnsi="仿宋" w:cs="Times New Roman" w:hint="eastAsia"/>
          <w:bCs/>
          <w:sz w:val="32"/>
          <w:szCs w:val="32"/>
          <w14:ligatures w14:val="none"/>
        </w:rPr>
        <w:t>东至县尚未建设高铁线路及高铁站，难以满足居民长远距离快速出行需求。</w:t>
      </w:r>
    </w:p>
    <w:p w14:paraId="191C292C" w14:textId="09763FF4" w:rsidR="0062582F" w:rsidRDefault="00000000">
      <w:pPr>
        <w:autoSpaceDE w:val="0"/>
        <w:autoSpaceDN w:val="0"/>
        <w:spacing w:line="600" w:lineRule="exact"/>
        <w:ind w:firstLineChars="200" w:firstLine="640"/>
        <w:rPr>
          <w:rFonts w:ascii="仿宋_GB2312" w:eastAsia="仿宋_GB2312" w:hAnsi="仿宋" w:cs="Times New Roman" w:hint="eastAsia"/>
          <w:bCs/>
          <w:sz w:val="32"/>
          <w:szCs w:val="32"/>
          <w14:ligatures w14:val="none"/>
        </w:rPr>
      </w:pPr>
      <w:r>
        <w:rPr>
          <w:rFonts w:ascii="Calibri" w:eastAsia="楷体" w:hAnsi="Calibri" w:cs="Times New Roman" w:hint="eastAsia"/>
          <w:bCs/>
          <w:kern w:val="0"/>
          <w:sz w:val="32"/>
          <w14:ligatures w14:val="none"/>
        </w:rPr>
        <w:t>城乡空间结构有待优化。</w:t>
      </w:r>
      <w:r>
        <w:rPr>
          <w:rFonts w:ascii="仿宋_GB2312" w:eastAsia="仿宋_GB2312" w:hAnsi="仿宋" w:cs="Times New Roman" w:hint="eastAsia"/>
          <w:bCs/>
          <w:sz w:val="32"/>
          <w:szCs w:val="32"/>
          <w14:ligatures w14:val="none"/>
        </w:rPr>
        <w:t>东至县域人口不断向中心城区和重点镇集聚，但城镇综合服务能力及城镇公共服务设施集聚度仍需加强。城乡空间结构亟待优化，提高空间使用效率，加强农村土地综合整治，优化城乡建设用地比例。</w:t>
      </w:r>
    </w:p>
    <w:p w14:paraId="686433E8"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21" w:name="_Toc122522336"/>
      <w:bookmarkStart w:id="22" w:name="_Toc164695073"/>
      <w:r>
        <w:rPr>
          <w:rFonts w:ascii="黑体" w:eastAsia="黑体" w:hAnsi="黑体" w:cs="Times New Roman" w:hint="eastAsia"/>
          <w:b/>
          <w:bCs/>
          <w:sz w:val="32"/>
          <w:szCs w:val="32"/>
          <w14:ligatures w14:val="none"/>
        </w:rPr>
        <w:lastRenderedPageBreak/>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机遇与挑战</w:t>
      </w:r>
      <w:bookmarkEnd w:id="21"/>
      <w:bookmarkEnd w:id="22"/>
    </w:p>
    <w:p w14:paraId="67282A97" w14:textId="77777777" w:rsidR="0062582F" w:rsidRDefault="00000000">
      <w:pPr>
        <w:autoSpaceDE w:val="0"/>
        <w:autoSpaceDN w:val="0"/>
        <w:adjustRightInd w:val="0"/>
        <w:spacing w:line="600" w:lineRule="exact"/>
        <w:ind w:firstLineChars="200" w:firstLine="640"/>
        <w:rPr>
          <w:rFonts w:ascii="仿宋_GB2312" w:eastAsia="宋体" w:hAnsi="仿宋" w:cs="仿宋" w:hint="eastAsia"/>
          <w:bCs/>
          <w:color w:val="000000"/>
          <w:sz w:val="24"/>
          <w:szCs w:val="32"/>
          <w14:ligatures w14:val="none"/>
        </w:rPr>
      </w:pPr>
      <w:r>
        <w:rPr>
          <w:rFonts w:ascii="Calibri" w:eastAsia="楷体" w:hAnsi="Calibri" w:cs="Times New Roman" w:hint="eastAsia"/>
          <w:bCs/>
          <w:kern w:val="0"/>
          <w:sz w:val="32"/>
          <w14:ligatures w14:val="none"/>
        </w:rPr>
        <w:t>区域新发展格局加快构建，为优化国土空间格局创造条件。</w:t>
      </w:r>
      <w:r>
        <w:rPr>
          <w:rFonts w:ascii="仿宋_GB2312" w:eastAsia="仿宋_GB2312" w:hAnsi="仿宋" w:cs="Times New Roman" w:hint="eastAsia"/>
          <w:bCs/>
          <w:sz w:val="32"/>
          <w:szCs w:val="32"/>
          <w14:ligatures w14:val="none"/>
        </w:rPr>
        <w:t>东至县随着长三角一体化发展、长江经济带发展以及中部崛起等区域战略实施，省委、省政府推动大黄山世界级休闲度假康养旅游目的地建设，东至县战略地位逐步提升，肩负着共同构筑皖南生态安全屏障，协同加快融入长三角一体化发展、共建</w:t>
      </w:r>
      <w:r>
        <w:rPr>
          <w:rFonts w:ascii="仿宋_GB2312" w:eastAsia="仿宋_GB2312" w:hAnsi="仿宋" w:cs="Times New Roman"/>
          <w:bCs/>
          <w:sz w:val="32"/>
          <w:szCs w:val="32"/>
          <w14:ligatures w14:val="none"/>
        </w:rPr>
        <w:t>大黄山世界级休闲度假康养旅游目的地</w:t>
      </w:r>
      <w:r>
        <w:rPr>
          <w:rFonts w:ascii="仿宋_GB2312" w:eastAsia="仿宋_GB2312" w:hAnsi="仿宋" w:cs="Times New Roman" w:hint="eastAsia"/>
          <w:bCs/>
          <w:sz w:val="32"/>
          <w:szCs w:val="32"/>
          <w14:ligatures w14:val="none"/>
        </w:rPr>
        <w:t>等重要任务，有助于东至融入区域发展格局，优化调整国土空间结构，优化空间资源配置，提高国土空间开发利用水平，加快形成节约集约、绿色低碳国土空间。</w:t>
      </w:r>
    </w:p>
    <w:p w14:paraId="0AF6BE7F" w14:textId="77777777" w:rsidR="0062582F" w:rsidRDefault="00000000">
      <w:pPr>
        <w:autoSpaceDE w:val="0"/>
        <w:autoSpaceDN w:val="0"/>
        <w:adjustRightInd w:val="0"/>
        <w:spacing w:line="600" w:lineRule="exact"/>
        <w:ind w:firstLineChars="200" w:firstLine="640"/>
        <w:rPr>
          <w:rFonts w:ascii="仿宋_GB2312" w:eastAsia="宋体" w:hAnsi="仿宋" w:cs="仿宋" w:hint="eastAsia"/>
          <w:b/>
          <w:color w:val="000000"/>
          <w:sz w:val="24"/>
          <w:szCs w:val="32"/>
          <w14:ligatures w14:val="none"/>
        </w:rPr>
      </w:pPr>
      <w:r>
        <w:rPr>
          <w:rFonts w:ascii="Calibri" w:eastAsia="楷体" w:hAnsi="Calibri" w:cs="Times New Roman" w:hint="eastAsia"/>
          <w:bCs/>
          <w:kern w:val="0"/>
          <w:sz w:val="32"/>
          <w14:ligatures w14:val="none"/>
        </w:rPr>
        <w:t>区域交通体系持续完善，为融入长三角一体化提供便捷条件。</w:t>
      </w:r>
      <w:r>
        <w:rPr>
          <w:rFonts w:ascii="仿宋_GB2312" w:eastAsia="仿宋_GB2312" w:hAnsi="仿宋" w:cs="Times New Roman" w:hint="eastAsia"/>
          <w:bCs/>
          <w:sz w:val="32"/>
          <w:szCs w:val="32"/>
          <w14:ligatures w14:val="none"/>
        </w:rPr>
        <w:t>安徽省及池州市公路、铁路、港口等交通专项规划中，规划建设完善香口港区、东流港区、吉阳港区、大渡口港区、宿松至望江至宣城铁路、池州至九江铁路（东至段）、六安景铁路（东至段）、</w:t>
      </w:r>
      <w:r>
        <w:rPr>
          <w:rFonts w:ascii="仿宋_GB2312" w:eastAsia="仿宋_GB2312" w:hAnsi="仿宋" w:cs="Times New Roman"/>
          <w:bCs/>
          <w:sz w:val="32"/>
          <w:szCs w:val="32"/>
          <w14:ligatures w14:val="none"/>
        </w:rPr>
        <w:t>S36</w:t>
      </w:r>
      <w:r>
        <w:rPr>
          <w:rFonts w:ascii="仿宋_GB2312" w:eastAsia="仿宋_GB2312" w:hAnsi="仿宋" w:cs="Times New Roman" w:hint="eastAsia"/>
          <w:bCs/>
          <w:sz w:val="32"/>
          <w:szCs w:val="32"/>
          <w14:ligatures w14:val="none"/>
        </w:rPr>
        <w:t>宣城至东至高速、</w:t>
      </w:r>
      <w:r>
        <w:rPr>
          <w:rFonts w:ascii="仿宋_GB2312" w:eastAsia="仿宋_GB2312" w:hAnsi="仿宋" w:cs="Times New Roman"/>
          <w:bCs/>
          <w:sz w:val="32"/>
          <w:szCs w:val="32"/>
          <w14:ligatures w14:val="none"/>
        </w:rPr>
        <w:t>S27</w:t>
      </w:r>
      <w:r>
        <w:rPr>
          <w:rFonts w:ascii="仿宋_GB2312" w:eastAsia="仿宋_GB2312" w:hAnsi="仿宋" w:cs="Times New Roman" w:hint="eastAsia"/>
          <w:bCs/>
          <w:sz w:val="32"/>
          <w:szCs w:val="32"/>
          <w14:ligatures w14:val="none"/>
        </w:rPr>
        <w:t>东至至鄱阳高速、</w:t>
      </w:r>
      <w:r>
        <w:rPr>
          <w:rFonts w:ascii="仿宋_GB2312" w:eastAsia="仿宋_GB2312" w:hAnsi="仿宋" w:cs="Times New Roman"/>
          <w:bCs/>
          <w:sz w:val="32"/>
          <w:szCs w:val="32"/>
          <w14:ligatures w14:val="none"/>
        </w:rPr>
        <w:t>S29</w:t>
      </w:r>
      <w:r>
        <w:rPr>
          <w:rFonts w:ascii="仿宋_GB2312" w:eastAsia="仿宋_GB2312" w:hAnsi="仿宋" w:cs="Times New Roman" w:hint="eastAsia"/>
          <w:bCs/>
          <w:sz w:val="32"/>
          <w:szCs w:val="32"/>
          <w14:ligatures w14:val="none"/>
        </w:rPr>
        <w:t>祁浮高速、长江过江通道等项目，进一步增强东至县交通联动发展，加快融入长三角一体化发展，深化长江中游城市群合作交流。</w:t>
      </w:r>
    </w:p>
    <w:p w14:paraId="36F6C73C" w14:textId="77777777" w:rsidR="0062582F" w:rsidRDefault="00000000">
      <w:pPr>
        <w:autoSpaceDE w:val="0"/>
        <w:autoSpaceDN w:val="0"/>
        <w:adjustRightInd w:val="0"/>
        <w:spacing w:line="600" w:lineRule="exact"/>
        <w:ind w:firstLineChars="200" w:firstLine="640"/>
        <w:rPr>
          <w:rFonts w:ascii="仿宋_GB2312" w:eastAsia="宋体" w:hAnsi="仿宋" w:cs="仿宋" w:hint="eastAsia"/>
          <w:bCs/>
          <w:color w:val="000000"/>
          <w:sz w:val="24"/>
          <w:szCs w:val="32"/>
          <w14:ligatures w14:val="none"/>
        </w:rPr>
      </w:pPr>
      <w:r>
        <w:rPr>
          <w:rFonts w:ascii="Calibri" w:eastAsia="楷体" w:hAnsi="Calibri" w:cs="Times New Roman" w:hint="eastAsia"/>
          <w:bCs/>
          <w:kern w:val="0"/>
          <w:sz w:val="32"/>
          <w14:ligatures w14:val="none"/>
        </w:rPr>
        <w:t>绿色发展持续推进，为共建世界级休闲度假康养旅游目的地注入动力。</w:t>
      </w:r>
      <w:r>
        <w:rPr>
          <w:rFonts w:ascii="仿宋_GB2312" w:eastAsia="仿宋_GB2312" w:hAnsi="仿宋" w:cs="Times New Roman" w:hint="eastAsia"/>
          <w:bCs/>
          <w:sz w:val="32"/>
          <w:szCs w:val="32"/>
          <w14:ligatures w14:val="none"/>
        </w:rPr>
        <w:t>国家生态文明建设加快推进，生态保护修复投入持续加大，绿色低碳发展不断深入，美丽长江（安徽）经济带等逐步实施，结合东至县生态文化旅游资源科学合理利用，有助</w:t>
      </w:r>
      <w:r>
        <w:rPr>
          <w:rFonts w:ascii="仿宋_GB2312" w:eastAsia="仿宋_GB2312" w:hAnsi="仿宋" w:cs="Times New Roman" w:hint="eastAsia"/>
          <w:bCs/>
          <w:sz w:val="32"/>
          <w:szCs w:val="32"/>
          <w14:ligatures w14:val="none"/>
        </w:rPr>
        <w:lastRenderedPageBreak/>
        <w:t>于东至县加快融入</w:t>
      </w:r>
      <w:r>
        <w:rPr>
          <w:rFonts w:ascii="仿宋_GB2312" w:eastAsia="仿宋_GB2312" w:hAnsi="仿宋" w:cs="Times New Roman"/>
          <w:bCs/>
          <w:sz w:val="32"/>
          <w:szCs w:val="32"/>
          <w14:ligatures w14:val="none"/>
        </w:rPr>
        <w:t>大黄山世界级休闲度假康养旅游目的地</w:t>
      </w:r>
      <w:r>
        <w:rPr>
          <w:rFonts w:ascii="仿宋_GB2312" w:eastAsia="仿宋_GB2312" w:hAnsi="仿宋" w:cs="Times New Roman" w:hint="eastAsia"/>
          <w:bCs/>
          <w:sz w:val="32"/>
          <w:szCs w:val="32"/>
          <w14:ligatures w14:val="none"/>
        </w:rPr>
        <w:t>、皖南国际文化旅游示范区建设，构建完善的旅游服务体系。</w:t>
      </w:r>
    </w:p>
    <w:p w14:paraId="34460C02" w14:textId="77777777" w:rsidR="0062582F" w:rsidRDefault="00000000">
      <w:pPr>
        <w:autoSpaceDE w:val="0"/>
        <w:autoSpaceDN w:val="0"/>
        <w:adjustRightInd w:val="0"/>
        <w:spacing w:line="600" w:lineRule="exact"/>
        <w:ind w:firstLineChars="200" w:firstLine="640"/>
        <w:rPr>
          <w:rFonts w:ascii="仿宋_GB2312" w:eastAsia="宋体" w:hAnsi="仿宋" w:cs="Times New Roman" w:hint="eastAsia"/>
          <w:bCs/>
          <w:color w:val="000000"/>
          <w:kern w:val="0"/>
          <w:sz w:val="24"/>
          <w:szCs w:val="32"/>
          <w14:ligatures w14:val="none"/>
        </w:rPr>
      </w:pPr>
      <w:r>
        <w:rPr>
          <w:rFonts w:ascii="仿宋_GB2312" w:eastAsia="仿宋_GB2312" w:hAnsi="仿宋" w:cs="Times New Roman" w:hint="eastAsia"/>
          <w:bCs/>
          <w:sz w:val="32"/>
          <w:szCs w:val="32"/>
          <w14:ligatures w14:val="none"/>
        </w:rPr>
        <w:t>面对新形势新要求，东至在国土空间开发保护方面也面临着一些风险挑战。</w:t>
      </w:r>
    </w:p>
    <w:p w14:paraId="7E477FF1" w14:textId="77777777" w:rsidR="0062582F" w:rsidRDefault="00000000">
      <w:pPr>
        <w:autoSpaceDE w:val="0"/>
        <w:autoSpaceDN w:val="0"/>
        <w:adjustRightInd w:val="0"/>
        <w:spacing w:line="600" w:lineRule="exact"/>
        <w:ind w:firstLineChars="200" w:firstLine="640"/>
        <w:rPr>
          <w:rFonts w:ascii="仿宋_GB2312" w:eastAsia="宋体" w:hAnsi="仿宋" w:cs="仿宋" w:hint="eastAsia"/>
          <w:bCs/>
          <w:color w:val="000000"/>
          <w:sz w:val="24"/>
          <w:szCs w:val="32"/>
          <w14:ligatures w14:val="none"/>
        </w:rPr>
      </w:pPr>
      <w:r>
        <w:rPr>
          <w:rFonts w:ascii="Calibri" w:eastAsia="楷体" w:hAnsi="Calibri" w:cs="Times New Roman" w:hint="eastAsia"/>
          <w:bCs/>
          <w:kern w:val="0"/>
          <w:sz w:val="32"/>
          <w14:ligatures w14:val="none"/>
        </w:rPr>
        <w:t>城镇化水平不断提升对生产生活空间保障提出挑战。</w:t>
      </w:r>
      <w:r>
        <w:rPr>
          <w:rFonts w:ascii="仿宋_GB2312" w:eastAsia="仿宋_GB2312" w:hAnsi="仿宋" w:cs="Times New Roman" w:hint="eastAsia"/>
          <w:bCs/>
          <w:sz w:val="32"/>
          <w:szCs w:val="32"/>
          <w14:ligatures w14:val="none"/>
        </w:rPr>
        <w:t>受地形、地质灾害等因素限制，可开发为耕地和城镇的空间有限，主要集中在河谷、盆地、台地区域，且城镇开发与耕地保护区域重叠度高。城镇周边可利用土地少、永久基本农田与城镇建设存在较大的矛盾。</w:t>
      </w:r>
    </w:p>
    <w:p w14:paraId="18042AE0" w14:textId="77777777" w:rsidR="0062582F" w:rsidRDefault="00000000">
      <w:pPr>
        <w:autoSpaceDE w:val="0"/>
        <w:autoSpaceDN w:val="0"/>
        <w:adjustRightInd w:val="0"/>
        <w:spacing w:line="600" w:lineRule="exact"/>
        <w:ind w:firstLineChars="200" w:firstLine="640"/>
        <w:rPr>
          <w:rFonts w:ascii="仿宋_GB2312" w:eastAsia="宋体" w:hAnsi="仿宋" w:cs="仿宋" w:hint="eastAsia"/>
          <w:bCs/>
          <w:color w:val="000000"/>
          <w:sz w:val="24"/>
          <w:szCs w:val="32"/>
          <w14:ligatures w14:val="none"/>
        </w:rPr>
      </w:pPr>
      <w:bookmarkStart w:id="23" w:name="_Toc118234642"/>
      <w:r>
        <w:rPr>
          <w:rFonts w:ascii="Calibri" w:eastAsia="楷体" w:hAnsi="Calibri" w:cs="Times New Roman" w:hint="eastAsia"/>
          <w:bCs/>
          <w:kern w:val="0"/>
          <w:sz w:val="32"/>
          <w14:ligatures w14:val="none"/>
        </w:rPr>
        <w:t>产业竞争加剧对城市产业空间支撑保障能力提出挑战</w:t>
      </w:r>
      <w:bookmarkEnd w:id="23"/>
      <w:r>
        <w:rPr>
          <w:rFonts w:ascii="Calibri" w:eastAsia="楷体" w:hAnsi="Calibri" w:cs="Times New Roman" w:hint="eastAsia"/>
          <w:bCs/>
          <w:kern w:val="0"/>
          <w:sz w:val="32"/>
          <w14:ligatures w14:val="none"/>
        </w:rPr>
        <w:t>。</w:t>
      </w:r>
      <w:r>
        <w:rPr>
          <w:rFonts w:ascii="仿宋_GB2312" w:eastAsia="仿宋_GB2312" w:hAnsi="仿宋" w:cs="Times New Roman" w:hint="eastAsia"/>
          <w:bCs/>
          <w:sz w:val="32"/>
          <w:szCs w:val="32"/>
          <w14:ligatures w14:val="none"/>
        </w:rPr>
        <w:t>近年来区域产业竞争加剧明显。东至县拥有两大省级产业园区，依托自身产业发展与承接长三角产业转移，产业发展速度较快，但相比先发地区产业用地规模有待提升，产业空间布局有待优化，产业空间对产业发展的支撑保障能力有待提高。</w:t>
      </w:r>
    </w:p>
    <w:p w14:paraId="72EDA39F" w14:textId="77777777" w:rsidR="0062582F" w:rsidRDefault="00000000">
      <w:pPr>
        <w:autoSpaceDE w:val="0"/>
        <w:autoSpaceDN w:val="0"/>
        <w:adjustRightInd w:val="0"/>
        <w:spacing w:line="600" w:lineRule="exact"/>
        <w:ind w:firstLineChars="200" w:firstLine="640"/>
        <w:rPr>
          <w:rFonts w:ascii="仿宋_GB2312" w:eastAsia="宋体" w:hAnsi="仿宋" w:cs="仿宋" w:hint="eastAsia"/>
          <w:b/>
          <w:color w:val="000000"/>
          <w:sz w:val="24"/>
          <w:szCs w:val="32"/>
          <w14:ligatures w14:val="none"/>
        </w:rPr>
      </w:pPr>
      <w:r>
        <w:rPr>
          <w:rFonts w:ascii="Calibri" w:eastAsia="楷体" w:hAnsi="Calibri" w:cs="Times New Roman" w:hint="eastAsia"/>
          <w:bCs/>
          <w:kern w:val="0"/>
          <w:sz w:val="32"/>
          <w14:ligatures w14:val="none"/>
        </w:rPr>
        <w:t>极端天气与突发事件对城市韧性安全提出更高要求。</w:t>
      </w:r>
      <w:r>
        <w:rPr>
          <w:rFonts w:ascii="仿宋_GB2312" w:eastAsia="仿宋_GB2312" w:hAnsi="仿宋" w:cs="Times New Roman" w:hint="eastAsia"/>
          <w:bCs/>
          <w:sz w:val="32"/>
          <w:szCs w:val="32"/>
          <w14:ligatures w14:val="none"/>
        </w:rPr>
        <w:t>东至县人类工程活动集聚且降雨集中，自然灾害主要包括洪涝风险、水土流失、滑坡和崩塌等。突发重大公共卫生事件对城市人民生命、公众健康、社会安全产生重大影响。突发灾害对城市基础设施和生命线系统的正常运转提出挑战。城市需要建立更加安全韧性的空间格局，应对极端天气和突发事件等带来的冲击。</w:t>
      </w:r>
    </w:p>
    <w:p w14:paraId="21AAF935" w14:textId="77777777" w:rsidR="0062582F" w:rsidRDefault="00000000">
      <w:pPr>
        <w:widowControl/>
        <w:jc w:val="left"/>
        <w:rPr>
          <w:rFonts w:ascii="Times New Roman" w:eastAsia="黑体" w:hAnsi="Times New Roman" w:cs="Times New Roman"/>
          <w:b/>
          <w:bCs/>
          <w:kern w:val="44"/>
          <w:sz w:val="44"/>
          <w:szCs w:val="44"/>
          <w14:ligatures w14:val="none"/>
        </w:rPr>
      </w:pPr>
      <w:r>
        <w:rPr>
          <w:rFonts w:ascii="Times New Roman" w:eastAsia="仿宋_GB2312" w:hAnsi="Times New Roman" w:cs="Times New Roman"/>
          <w:b/>
          <w:bCs/>
          <w:kern w:val="44"/>
          <w:sz w:val="44"/>
          <w:szCs w:val="44"/>
          <w14:ligatures w14:val="none"/>
        </w:rPr>
        <w:br w:type="page"/>
      </w:r>
    </w:p>
    <w:p w14:paraId="37273634"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24" w:name="_Toc164695074"/>
      <w:r>
        <w:rPr>
          <w:rFonts w:ascii="方正小标宋简体" w:eastAsia="方正小标宋简体" w:hAnsi="Times New Roman" w:cs="Times New Roman" w:hint="eastAsia"/>
          <w:b/>
          <w:bCs/>
          <w:kern w:val="44"/>
          <w:sz w:val="44"/>
          <w:szCs w:val="44"/>
          <w14:ligatures w14:val="none"/>
        </w:rPr>
        <w:lastRenderedPageBreak/>
        <w:t>第二章</w:t>
      </w:r>
      <w:r>
        <w:rPr>
          <w:rFonts w:ascii="方正小标宋简体" w:eastAsia="方正小标宋简体" w:hAnsi="Times New Roman" w:cs="Times New Roman"/>
          <w:b/>
          <w:bCs/>
          <w:kern w:val="44"/>
          <w:sz w:val="44"/>
          <w:szCs w:val="44"/>
          <w14:ligatures w14:val="none"/>
        </w:rPr>
        <w:tab/>
      </w:r>
      <w:r>
        <w:rPr>
          <w:rFonts w:ascii="方正小标宋简体" w:eastAsia="方正小标宋简体" w:hAnsi="Times New Roman" w:cs="Times New Roman" w:hint="eastAsia"/>
          <w:b/>
          <w:bCs/>
          <w:kern w:val="44"/>
          <w:sz w:val="44"/>
          <w:szCs w:val="44"/>
          <w14:ligatures w14:val="none"/>
        </w:rPr>
        <w:t>国土空间开发保护目标和策略</w:t>
      </w:r>
      <w:bookmarkEnd w:id="24"/>
    </w:p>
    <w:p w14:paraId="76573B75" w14:textId="77777777" w:rsidR="0062582F" w:rsidRDefault="00000000">
      <w:pPr>
        <w:spacing w:line="600" w:lineRule="exact"/>
        <w:ind w:firstLineChars="200" w:firstLine="640"/>
        <w:rPr>
          <w:rFonts w:ascii="Times New Roman" w:eastAsia="仿宋_GB2312" w:hAnsi="仿宋" w:cs="Times New Roman" w:hint="eastAsia"/>
          <w:color w:val="000000"/>
          <w:kern w:val="0"/>
          <w:sz w:val="32"/>
          <w:szCs w:val="30"/>
          <w14:ligatures w14:val="none"/>
        </w:rPr>
      </w:pPr>
      <w:r>
        <w:rPr>
          <w:rFonts w:ascii="Times New Roman" w:eastAsia="仿宋_GB2312" w:hAnsi="Times New Roman" w:cs="Times New Roman"/>
          <w:kern w:val="0"/>
          <w:sz w:val="32"/>
          <w:szCs w:val="30"/>
          <w14:ligatures w14:val="none"/>
        </w:rPr>
        <w:t>面向我国全面建成社会主义现代化强国、实现第二个百年奋斗目标，</w:t>
      </w:r>
      <w:r>
        <w:rPr>
          <w:rFonts w:ascii="Times New Roman" w:eastAsia="仿宋_GB2312" w:hAnsi="仿宋" w:cs="Times New Roman" w:hint="eastAsia"/>
          <w:color w:val="000000"/>
          <w:kern w:val="0"/>
          <w:sz w:val="32"/>
          <w:szCs w:val="30"/>
          <w14:ligatures w14:val="none"/>
        </w:rPr>
        <w:t>在中国式现代化进程中推进东至县高质量发展，围绕东至建设安徽省西南部现代化滨江城市、山水特色显著的尧舜胜地、宜居宜业宜养的皖江福地、创新开放现代的产业高地的重大责任，科学确定国土空间规划开发保护的指导思想、开发保护目标和策略。</w:t>
      </w:r>
    </w:p>
    <w:p w14:paraId="0B90FE27"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25" w:name="_Toc122522338"/>
      <w:bookmarkStart w:id="26" w:name="_Toc164695075"/>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指导思想</w:t>
      </w:r>
      <w:bookmarkEnd w:id="25"/>
      <w:bookmarkEnd w:id="26"/>
    </w:p>
    <w:p w14:paraId="5472E161" w14:textId="77777777" w:rsidR="0062582F" w:rsidRDefault="00000000">
      <w:pPr>
        <w:spacing w:line="560" w:lineRule="exact"/>
        <w:ind w:firstLineChars="200" w:firstLine="640"/>
        <w:rPr>
          <w:rFonts w:ascii="Times New Roman" w:eastAsia="仿宋_GB2312" w:hAnsi="仿宋" w:cs="Times New Roman" w:hint="eastAsia"/>
          <w:b/>
          <w:bCs/>
          <w:color w:val="000000"/>
          <w:kern w:val="0"/>
          <w:sz w:val="32"/>
          <w:szCs w:val="30"/>
          <w:u w:val="single"/>
          <w14:ligatures w14:val="none"/>
        </w:rPr>
      </w:pPr>
      <w:r>
        <w:rPr>
          <w:rFonts w:ascii="Times New Roman" w:eastAsia="仿宋_GB2312" w:hAnsi="Times New Roman" w:cs="Times New Roman"/>
          <w:bCs/>
          <w:kern w:val="0"/>
          <w:sz w:val="32"/>
          <w:szCs w:val="30"/>
          <w14:ligatures w14:val="none"/>
        </w:rPr>
        <w:t>坚持以习近平新时代中国特色社会主义思想为指导，</w:t>
      </w:r>
      <w:r>
        <w:rPr>
          <w:rFonts w:ascii="Times New Roman" w:eastAsia="仿宋_GB2312" w:hAnsi="Times New Roman" w:cs="Times New Roman"/>
          <w:kern w:val="0"/>
          <w:sz w:val="32"/>
          <w:szCs w:val="30"/>
          <w14:ligatures w14:val="none"/>
        </w:rPr>
        <w:t>全面贯彻落实党的二十大精神，深入贯彻落实习近平总书记对安徽作出的系列重要讲话</w:t>
      </w:r>
      <w:r>
        <w:rPr>
          <w:rFonts w:ascii="Times New Roman" w:eastAsia="仿宋_GB2312" w:hAnsi="Times New Roman" w:cs="Times New Roman" w:hint="eastAsia"/>
          <w:kern w:val="0"/>
          <w:sz w:val="32"/>
          <w:szCs w:val="30"/>
          <w14:ligatures w14:val="none"/>
        </w:rPr>
        <w:t>重要</w:t>
      </w:r>
      <w:r>
        <w:rPr>
          <w:rFonts w:ascii="Times New Roman" w:eastAsia="仿宋_GB2312" w:hAnsi="Times New Roman" w:cs="Times New Roman"/>
          <w:kern w:val="0"/>
          <w:sz w:val="32"/>
          <w:szCs w:val="30"/>
          <w14:ligatures w14:val="none"/>
        </w:rPr>
        <w:t>指示精神，</w:t>
      </w:r>
      <w:r>
        <w:rPr>
          <w:rFonts w:ascii="Times New Roman" w:eastAsia="仿宋_GB2312" w:hAnsi="Times New Roman" w:cs="Times New Roman"/>
          <w:bCs/>
          <w:kern w:val="0"/>
          <w:sz w:val="32"/>
          <w:szCs w:val="30"/>
          <w14:ligatures w14:val="none"/>
        </w:rPr>
        <w:t>紧紧围绕统筹推进</w:t>
      </w:r>
      <w:r>
        <w:rPr>
          <w:rFonts w:ascii="Times New Roman" w:eastAsia="仿宋_GB2312" w:hAnsi="Times New Roman" w:cs="Times New Roman" w:hint="eastAsia"/>
          <w:bCs/>
          <w:kern w:val="0"/>
          <w:sz w:val="32"/>
          <w:szCs w:val="30"/>
          <w14:ligatures w14:val="none"/>
        </w:rPr>
        <w:t>“</w:t>
      </w:r>
      <w:r>
        <w:rPr>
          <w:rFonts w:ascii="Times New Roman" w:eastAsia="仿宋_GB2312" w:hAnsi="Times New Roman" w:cs="Times New Roman"/>
          <w:bCs/>
          <w:kern w:val="0"/>
          <w:sz w:val="32"/>
          <w:szCs w:val="30"/>
          <w14:ligatures w14:val="none"/>
        </w:rPr>
        <w:t>五位一体</w:t>
      </w:r>
      <w:r>
        <w:rPr>
          <w:rFonts w:ascii="Times New Roman" w:eastAsia="仿宋_GB2312" w:hAnsi="Times New Roman" w:cs="Times New Roman" w:hint="eastAsia"/>
          <w:bCs/>
          <w:kern w:val="0"/>
          <w:sz w:val="32"/>
          <w:szCs w:val="30"/>
          <w14:ligatures w14:val="none"/>
        </w:rPr>
        <w:t>”</w:t>
      </w:r>
      <w:r>
        <w:rPr>
          <w:rFonts w:ascii="Times New Roman" w:eastAsia="仿宋_GB2312" w:hAnsi="Times New Roman" w:cs="Times New Roman"/>
          <w:bCs/>
          <w:kern w:val="0"/>
          <w:sz w:val="32"/>
          <w:szCs w:val="30"/>
          <w14:ligatures w14:val="none"/>
        </w:rPr>
        <w:t>总体布局和协调推进</w:t>
      </w:r>
      <w:r>
        <w:rPr>
          <w:rFonts w:ascii="Times New Roman" w:eastAsia="仿宋_GB2312" w:hAnsi="Times New Roman" w:cs="Times New Roman" w:hint="eastAsia"/>
          <w:bCs/>
          <w:kern w:val="0"/>
          <w:sz w:val="32"/>
          <w:szCs w:val="30"/>
          <w14:ligatures w14:val="none"/>
        </w:rPr>
        <w:t>“</w:t>
      </w:r>
      <w:r>
        <w:rPr>
          <w:rFonts w:ascii="Times New Roman" w:eastAsia="仿宋_GB2312" w:hAnsi="Times New Roman" w:cs="Times New Roman"/>
          <w:bCs/>
          <w:kern w:val="0"/>
          <w:sz w:val="32"/>
          <w:szCs w:val="30"/>
          <w14:ligatures w14:val="none"/>
        </w:rPr>
        <w:t>四个全面</w:t>
      </w:r>
      <w:r>
        <w:rPr>
          <w:rFonts w:ascii="Times New Roman" w:eastAsia="仿宋_GB2312" w:hAnsi="Times New Roman" w:cs="Times New Roman" w:hint="eastAsia"/>
          <w:bCs/>
          <w:kern w:val="0"/>
          <w:sz w:val="32"/>
          <w:szCs w:val="30"/>
          <w14:ligatures w14:val="none"/>
        </w:rPr>
        <w:t>”</w:t>
      </w:r>
      <w:r>
        <w:rPr>
          <w:rFonts w:ascii="Times New Roman" w:eastAsia="仿宋_GB2312" w:hAnsi="Times New Roman" w:cs="Times New Roman"/>
          <w:bCs/>
          <w:kern w:val="0"/>
          <w:sz w:val="32"/>
          <w:szCs w:val="30"/>
          <w14:ligatures w14:val="none"/>
        </w:rPr>
        <w:t>战略布局，完整、准确、全面贯彻新发展理念，加快构建新发展格局，着力推动高质量发展。以增进民生福祉为根本目的，以问题、目标、结果为导向，统筹发展和安全，面向国家粮食安全、生态安全、军事安全和城镇化健康发展等空间需求，统筹划定落实耕地和永久基本农田保护红线、生态保护红线、城镇开发边界、历史文化保护线等控制线，优化农业、生态、城镇等空间，为</w:t>
      </w:r>
      <w:r>
        <w:rPr>
          <w:rFonts w:ascii="Times New Roman" w:eastAsia="仿宋_GB2312" w:hAnsi="Times New Roman" w:cs="Times New Roman" w:hint="eastAsia"/>
          <w:bCs/>
          <w:kern w:val="0"/>
          <w:sz w:val="32"/>
          <w:szCs w:val="30"/>
          <w14:ligatures w14:val="none"/>
        </w:rPr>
        <w:t>东至</w:t>
      </w:r>
      <w:r>
        <w:rPr>
          <w:rFonts w:ascii="Times New Roman" w:eastAsia="仿宋_GB2312" w:hAnsi="Times New Roman" w:cs="Times New Roman"/>
          <w:bCs/>
          <w:kern w:val="0"/>
          <w:sz w:val="32"/>
          <w:szCs w:val="30"/>
          <w14:ligatures w14:val="none"/>
        </w:rPr>
        <w:t>实现</w:t>
      </w:r>
      <w:r>
        <w:rPr>
          <w:rFonts w:ascii="Times New Roman" w:eastAsia="仿宋_GB2312" w:hAnsi="Times New Roman" w:cs="Times New Roman" w:hint="eastAsia"/>
          <w:bCs/>
          <w:kern w:val="0"/>
          <w:sz w:val="32"/>
          <w:szCs w:val="30"/>
          <w14:ligatures w14:val="none"/>
        </w:rPr>
        <w:t>综合实力</w:t>
      </w:r>
      <w:r>
        <w:rPr>
          <w:rFonts w:ascii="Times New Roman" w:eastAsia="仿宋_GB2312" w:hAnsi="Times New Roman" w:cs="Times New Roman"/>
          <w:bCs/>
          <w:kern w:val="0"/>
          <w:sz w:val="32"/>
          <w:szCs w:val="30"/>
          <w14:ligatures w14:val="none"/>
        </w:rPr>
        <w:t>在全省</w:t>
      </w:r>
      <w:r>
        <w:rPr>
          <w:rFonts w:ascii="Times New Roman" w:eastAsia="仿宋_GB2312" w:hAnsi="Times New Roman" w:cs="Times New Roman" w:hint="eastAsia"/>
          <w:kern w:val="0"/>
          <w:sz w:val="32"/>
          <w:szCs w:val="30"/>
          <w14:ligatures w14:val="none"/>
        </w:rPr>
        <w:t>同类县第一方阵</w:t>
      </w:r>
      <w:r>
        <w:rPr>
          <w:rFonts w:ascii="Times New Roman" w:eastAsia="仿宋_GB2312" w:hAnsi="Times New Roman" w:cs="Times New Roman"/>
          <w:kern w:val="0"/>
          <w:sz w:val="32"/>
          <w:szCs w:val="30"/>
          <w14:ligatures w14:val="none"/>
        </w:rPr>
        <w:t>目标以及</w:t>
      </w:r>
      <w:r>
        <w:rPr>
          <w:rFonts w:ascii="Times New Roman" w:eastAsia="仿宋_GB2312" w:hAnsi="Times New Roman" w:cs="Times New Roman" w:hint="eastAsia"/>
          <w:kern w:val="0"/>
          <w:sz w:val="32"/>
          <w:szCs w:val="30"/>
          <w14:ligatures w14:val="none"/>
        </w:rPr>
        <w:t>建设生态强县和旅游名县</w:t>
      </w:r>
      <w:r>
        <w:rPr>
          <w:rFonts w:ascii="Times New Roman" w:eastAsia="仿宋_GB2312" w:hAnsi="Times New Roman" w:cs="Times New Roman"/>
          <w:bCs/>
          <w:kern w:val="0"/>
          <w:sz w:val="32"/>
          <w:szCs w:val="30"/>
          <w14:ligatures w14:val="none"/>
        </w:rPr>
        <w:t>提供空间保障，实现国土空间开发保护更高质量、更有效率、更加公平、更可持续、更为安全。</w:t>
      </w:r>
    </w:p>
    <w:p w14:paraId="563D1D74"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27" w:name="_Toc122522339"/>
      <w:bookmarkStart w:id="28" w:name="_Toc164695076"/>
      <w:r>
        <w:rPr>
          <w:rFonts w:ascii="黑体" w:eastAsia="黑体" w:hAnsi="黑体" w:cs="Times New Roman" w:hint="eastAsia"/>
          <w:b/>
          <w:bCs/>
          <w:sz w:val="32"/>
          <w:szCs w:val="32"/>
          <w14:ligatures w14:val="none"/>
        </w:rPr>
        <w:lastRenderedPageBreak/>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规划目标与空间战略</w:t>
      </w:r>
      <w:bookmarkEnd w:id="27"/>
      <w:bookmarkEnd w:id="28"/>
    </w:p>
    <w:p w14:paraId="019FD578" w14:textId="06F3BB91" w:rsidR="0062582F" w:rsidRDefault="00000000">
      <w:pPr>
        <w:spacing w:line="600" w:lineRule="exact"/>
        <w:ind w:firstLineChars="200" w:firstLine="640"/>
        <w:rPr>
          <w:rFonts w:ascii="Times New Roman" w:eastAsia="仿宋_GB2312" w:hAnsi="仿宋" w:cs="Times New Roman" w:hint="eastAsia"/>
          <w:color w:val="000000"/>
          <w:kern w:val="0"/>
          <w:sz w:val="32"/>
          <w:szCs w:val="30"/>
          <w14:ligatures w14:val="none"/>
        </w:rPr>
      </w:pPr>
      <w:r>
        <w:rPr>
          <w:rFonts w:ascii="Times New Roman" w:eastAsia="仿宋_GB2312" w:hAnsi="Times New Roman" w:cs="Times New Roman"/>
          <w:kern w:val="0"/>
          <w:sz w:val="32"/>
          <w:szCs w:val="30"/>
          <w14:ligatures w14:val="none"/>
        </w:rPr>
        <w:t>明确总体目标。紧紧围绕</w:t>
      </w:r>
      <w:r>
        <w:rPr>
          <w:rFonts w:ascii="Times New Roman" w:eastAsia="仿宋_GB2312" w:hAnsi="Times New Roman" w:cs="Times New Roman" w:hint="eastAsia"/>
          <w:kern w:val="0"/>
          <w:sz w:val="32"/>
          <w:szCs w:val="30"/>
          <w14:ligatures w14:val="none"/>
        </w:rPr>
        <w:t>“安徽省西南现代化滨江城市、尧舜之乡、现代化特色产业高地”</w:t>
      </w:r>
      <w:r>
        <w:rPr>
          <w:rFonts w:ascii="Times New Roman" w:eastAsia="仿宋_GB2312" w:hAnsi="Times New Roman" w:cs="Times New Roman"/>
          <w:kern w:val="0"/>
          <w:sz w:val="32"/>
          <w:szCs w:val="30"/>
          <w14:ligatures w14:val="none"/>
        </w:rPr>
        <w:t>的城市性质（核心功能定位），着力优化国土空间格局，加强国土空间开发保护。到</w:t>
      </w:r>
      <w:r>
        <w:rPr>
          <w:rFonts w:ascii="Times New Roman" w:eastAsia="仿宋_GB2312" w:hAnsi="Times New Roman" w:cs="Times New Roman"/>
          <w:kern w:val="0"/>
          <w:sz w:val="32"/>
          <w:szCs w:val="30"/>
          <w14:ligatures w14:val="none"/>
        </w:rPr>
        <w:t>2035</w:t>
      </w:r>
      <w:r>
        <w:rPr>
          <w:rFonts w:ascii="Times New Roman" w:eastAsia="仿宋_GB2312" w:hAnsi="Times New Roman" w:cs="Times New Roman"/>
          <w:kern w:val="0"/>
          <w:sz w:val="32"/>
          <w:szCs w:val="30"/>
          <w14:ligatures w14:val="none"/>
        </w:rPr>
        <w:t>年，形成优势互补、高质量发展的国土空间开发保护新格局，为建设</w:t>
      </w:r>
      <w:r>
        <w:rPr>
          <w:rFonts w:ascii="Times New Roman" w:eastAsia="仿宋_GB2312" w:hAnsi="Times New Roman" w:cs="Times New Roman" w:hint="eastAsia"/>
          <w:kern w:val="0"/>
          <w:sz w:val="32"/>
          <w:szCs w:val="30"/>
          <w14:ligatures w14:val="none"/>
        </w:rPr>
        <w:t>山水特色显著的尧舜胜地、</w:t>
      </w:r>
      <w:r w:rsidR="001D1903">
        <w:rPr>
          <w:rFonts w:ascii="Times New Roman" w:eastAsia="仿宋_GB2312" w:hAnsi="Times New Roman" w:cs="Times New Roman" w:hint="eastAsia"/>
          <w:kern w:val="0"/>
          <w:sz w:val="32"/>
          <w:szCs w:val="30"/>
          <w14:ligatures w14:val="none"/>
        </w:rPr>
        <w:t>现代化特色产业</w:t>
      </w:r>
      <w:r>
        <w:rPr>
          <w:rFonts w:ascii="Times New Roman" w:eastAsia="仿宋_GB2312" w:hAnsi="Times New Roman" w:cs="Times New Roman" w:hint="eastAsia"/>
          <w:kern w:val="0"/>
          <w:sz w:val="32"/>
          <w:szCs w:val="30"/>
          <w14:ligatures w14:val="none"/>
        </w:rPr>
        <w:t>高地</w:t>
      </w:r>
      <w:r>
        <w:rPr>
          <w:rFonts w:ascii="Times New Roman" w:eastAsia="仿宋_GB2312" w:hAnsi="Times New Roman" w:cs="Times New Roman"/>
          <w:kern w:val="0"/>
          <w:sz w:val="32"/>
          <w:szCs w:val="30"/>
          <w14:ligatures w14:val="none"/>
        </w:rPr>
        <w:t>筑牢基础；到</w:t>
      </w:r>
      <w:r>
        <w:rPr>
          <w:rFonts w:ascii="Times New Roman" w:eastAsia="仿宋_GB2312" w:hAnsi="Times New Roman" w:cs="Times New Roman"/>
          <w:kern w:val="0"/>
          <w:sz w:val="32"/>
          <w:szCs w:val="30"/>
          <w14:ligatures w14:val="none"/>
        </w:rPr>
        <w:t>2050</w:t>
      </w:r>
      <w:r>
        <w:rPr>
          <w:rFonts w:ascii="Times New Roman" w:eastAsia="仿宋_GB2312" w:hAnsi="Times New Roman" w:cs="Times New Roman"/>
          <w:kern w:val="0"/>
          <w:sz w:val="32"/>
          <w:szCs w:val="30"/>
          <w14:ligatures w14:val="none"/>
        </w:rPr>
        <w:t>年，全面实现国土空间治理体系和治理能力现代化，全面支撑建成</w:t>
      </w:r>
      <w:r>
        <w:rPr>
          <w:rFonts w:ascii="Times New Roman" w:eastAsia="仿宋_GB2312" w:hAnsi="Times New Roman" w:cs="Times New Roman" w:hint="eastAsia"/>
          <w:kern w:val="0"/>
          <w:sz w:val="32"/>
          <w:szCs w:val="30"/>
          <w14:ligatures w14:val="none"/>
        </w:rPr>
        <w:t>长三角有影响力的省际边界县和长三角重要文化旅游康养目的地。</w:t>
      </w:r>
    </w:p>
    <w:p w14:paraId="6BCD0667" w14:textId="77777777" w:rsidR="0062582F" w:rsidRDefault="00000000">
      <w:pPr>
        <w:spacing w:before="48" w:line="600" w:lineRule="exact"/>
        <w:ind w:firstLine="643"/>
        <w:rPr>
          <w:rFonts w:ascii="Calibri" w:eastAsia="仿宋_GB2312" w:hAnsi="Calibri" w:cs="Times New Roman"/>
          <w:sz w:val="32"/>
          <w14:ligatures w14:val="none"/>
        </w:rPr>
      </w:pPr>
      <w:r>
        <w:rPr>
          <w:rFonts w:ascii="Calibri" w:eastAsia="楷体" w:hAnsi="Calibri" w:cs="Times New Roman" w:hint="eastAsia"/>
          <w:bCs/>
          <w:kern w:val="0"/>
          <w:sz w:val="32"/>
          <w14:ligatures w14:val="none"/>
        </w:rPr>
        <w:t>空间底线全面筑牢。</w:t>
      </w:r>
      <w:r>
        <w:rPr>
          <w:rFonts w:ascii="Calibri" w:eastAsia="仿宋_GB2312" w:hAnsi="Calibri" w:cs="Times New Roman" w:hint="eastAsia"/>
          <w:sz w:val="32"/>
          <w14:ligatures w14:val="none"/>
        </w:rPr>
        <w:t>耕地和永久基本农田得到切实保护，全面落实上级下达的保护任务，</w:t>
      </w:r>
      <w:r>
        <w:rPr>
          <w:rFonts w:ascii="Calibri" w:eastAsia="仿宋_GB2312" w:hAnsi="Calibri" w:cs="Times New Roman"/>
          <w:sz w:val="32"/>
          <w14:ligatures w14:val="none"/>
        </w:rPr>
        <w:t>基本实现</w:t>
      </w:r>
      <w:r>
        <w:rPr>
          <w:rFonts w:ascii="Calibri" w:eastAsia="仿宋_GB2312" w:hAnsi="Calibri" w:cs="Times New Roman" w:hint="eastAsia"/>
          <w:sz w:val="32"/>
          <w14:ligatures w14:val="none"/>
        </w:rPr>
        <w:t>全县</w:t>
      </w:r>
      <w:r>
        <w:rPr>
          <w:rFonts w:ascii="Calibri" w:eastAsia="仿宋_GB2312" w:hAnsi="Calibri" w:cs="Times New Roman"/>
          <w:sz w:val="32"/>
          <w14:ligatures w14:val="none"/>
        </w:rPr>
        <w:t>永久基本农田全部建成高标准农田</w:t>
      </w:r>
      <w:r>
        <w:rPr>
          <w:rFonts w:ascii="Calibri" w:eastAsia="仿宋_GB2312" w:hAnsi="Calibri" w:cs="Times New Roman" w:hint="eastAsia"/>
          <w:sz w:val="32"/>
          <w14:ligatures w14:val="none"/>
        </w:rPr>
        <w:t>。河湖湿地、山体林地等生态空间得到充分保护与修复，生态系统稳定性不断增强，生态保护红线等生态底线空间得到全面保护。</w:t>
      </w:r>
    </w:p>
    <w:p w14:paraId="337B84E5" w14:textId="77777777" w:rsidR="0062582F" w:rsidRDefault="00000000">
      <w:pPr>
        <w:spacing w:before="48" w:line="600" w:lineRule="exact"/>
        <w:ind w:firstLine="643"/>
        <w:rPr>
          <w:rFonts w:ascii="Calibri" w:eastAsia="仿宋_GB2312" w:hAnsi="Calibri" w:cs="Times New Roman"/>
          <w:sz w:val="32"/>
          <w14:ligatures w14:val="none"/>
        </w:rPr>
      </w:pPr>
      <w:r>
        <w:rPr>
          <w:rFonts w:ascii="Calibri" w:eastAsia="楷体" w:hAnsi="Calibri" w:cs="Times New Roman" w:hint="eastAsia"/>
          <w:bCs/>
          <w:kern w:val="0"/>
          <w:sz w:val="32"/>
          <w14:ligatures w14:val="none"/>
        </w:rPr>
        <w:t>空间结构持续优化。</w:t>
      </w:r>
      <w:r>
        <w:rPr>
          <w:rFonts w:ascii="Calibri" w:eastAsia="仿宋_GB2312" w:hAnsi="Calibri" w:cs="Times New Roman" w:hint="eastAsia"/>
          <w:sz w:val="32"/>
          <w14:ligatures w14:val="none"/>
        </w:rPr>
        <w:t>农业生产空间格局合理优化，生态保护空间格局显著改善，城镇发展空间格局更加均衡，区域协调、城乡融合新格局基本形成。中心城区基本建立“多中心、组团式、网络化”的尧东一体化城市空间结构。</w:t>
      </w:r>
    </w:p>
    <w:p w14:paraId="24A624BA" w14:textId="77777777" w:rsidR="0062582F" w:rsidRDefault="00000000">
      <w:pPr>
        <w:spacing w:line="600" w:lineRule="exact"/>
        <w:ind w:firstLineChars="200" w:firstLine="640"/>
        <w:rPr>
          <w:rFonts w:ascii="Times New Roman" w:eastAsia="仿宋_GB2312" w:hAnsi="仿宋" w:cs="Times New Roman" w:hint="eastAsia"/>
          <w:color w:val="000000"/>
          <w:kern w:val="0"/>
          <w:sz w:val="32"/>
          <w:szCs w:val="30"/>
          <w14:ligatures w14:val="none"/>
        </w:rPr>
      </w:pPr>
      <w:r>
        <w:rPr>
          <w:rFonts w:ascii="Calibri" w:eastAsia="楷体" w:hAnsi="Calibri" w:cs="Times New Roman" w:hint="eastAsia"/>
          <w:bCs/>
          <w:kern w:val="0"/>
          <w:sz w:val="32"/>
          <w14:ligatures w14:val="none"/>
        </w:rPr>
        <w:t>空间效率逐步提高。</w:t>
      </w:r>
      <w:r>
        <w:rPr>
          <w:rFonts w:ascii="Times New Roman" w:eastAsia="仿宋_GB2312" w:hAnsi="Times New Roman" w:cs="Times New Roman" w:hint="eastAsia"/>
          <w:kern w:val="0"/>
          <w:sz w:val="32"/>
          <w:szCs w:val="30"/>
          <w14:ligatures w14:val="none"/>
        </w:rPr>
        <w:t>土地节约集约化利用水平提高，建设用地规模得到合理控制，存量建设用地供应比例不断提升，单位国内生产总值建设用地使用面积稳步下降，人均建设用地使用</w:t>
      </w:r>
      <w:r>
        <w:rPr>
          <w:rFonts w:ascii="Times New Roman" w:eastAsia="仿宋_GB2312" w:hAnsi="Times New Roman" w:cs="Times New Roman" w:hint="eastAsia"/>
          <w:kern w:val="0"/>
          <w:sz w:val="32"/>
          <w:szCs w:val="30"/>
          <w14:ligatures w14:val="none"/>
        </w:rPr>
        <w:lastRenderedPageBreak/>
        <w:t>水平控制在合理区间。</w:t>
      </w:r>
    </w:p>
    <w:p w14:paraId="14DBBDC1" w14:textId="77777777"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29" w:name="_Toc164695077"/>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国土空间开发保护战略</w:t>
      </w:r>
      <w:bookmarkEnd w:id="29"/>
    </w:p>
    <w:p w14:paraId="4D0B41D8" w14:textId="77777777" w:rsidR="0062582F" w:rsidRDefault="00000000">
      <w:pPr>
        <w:widowControl/>
        <w:spacing w:line="600" w:lineRule="exact"/>
        <w:ind w:firstLine="640"/>
        <w:rPr>
          <w:rFonts w:ascii="Calibri" w:eastAsia="仿宋_GB2312" w:hAnsi="Calibri" w:cs="Times New Roman"/>
          <w:sz w:val="32"/>
          <w14:ligatures w14:val="none"/>
        </w:rPr>
      </w:pPr>
      <w:r>
        <w:rPr>
          <w:rFonts w:ascii="Calibri" w:eastAsia="楷体" w:hAnsi="Calibri" w:cs="Times New Roman"/>
          <w:bCs/>
          <w:kern w:val="0"/>
          <w:sz w:val="32"/>
          <w14:ligatures w14:val="none"/>
        </w:rPr>
        <w:t>筑牢底线、安全韧性。</w:t>
      </w:r>
      <w:r>
        <w:rPr>
          <w:rFonts w:ascii="Calibri" w:eastAsia="仿宋_GB2312" w:hAnsi="Calibri" w:cs="Times New Roman"/>
          <w:sz w:val="32"/>
          <w14:ligatures w14:val="none"/>
        </w:rPr>
        <w:t>强化国土空间保护，严守耕地、生态、水资源等资源环境底线，统筹耕地保护、生态建设与城镇开发。有效应对粮食安全、生态安全、能源资源安全、公共安全、产业安全等方面的问题和挑战，完善国土安全基础设施，增强城市安全韧性。</w:t>
      </w:r>
    </w:p>
    <w:p w14:paraId="43E9E62B" w14:textId="77777777" w:rsidR="0062582F" w:rsidRDefault="00000000">
      <w:pPr>
        <w:spacing w:line="600" w:lineRule="exact"/>
        <w:ind w:firstLineChars="200" w:firstLine="640"/>
        <w:rPr>
          <w:rFonts w:ascii="Times New Roman" w:eastAsia="仿宋_GB2312" w:hAnsi="Times New Roman" w:cs="Times New Roman"/>
          <w:kern w:val="0"/>
          <w:sz w:val="32"/>
          <w:szCs w:val="30"/>
          <w14:ligatures w14:val="none"/>
        </w:rPr>
      </w:pPr>
      <w:r>
        <w:rPr>
          <w:rFonts w:ascii="Calibri" w:eastAsia="楷体" w:hAnsi="Calibri" w:cs="Times New Roman" w:hint="eastAsia"/>
          <w:bCs/>
          <w:kern w:val="0"/>
          <w:sz w:val="32"/>
          <w14:ligatures w14:val="none"/>
        </w:rPr>
        <w:t>绿色低碳、生态优先。</w:t>
      </w:r>
      <w:r>
        <w:rPr>
          <w:rFonts w:ascii="Times New Roman" w:eastAsia="仿宋_GB2312" w:hAnsi="Times New Roman" w:cs="Times New Roman" w:hint="eastAsia"/>
          <w:kern w:val="0"/>
          <w:sz w:val="32"/>
          <w:szCs w:val="30"/>
          <w14:ligatures w14:val="none"/>
        </w:rPr>
        <w:t>以优化生态环境、推进绿色发展为主线，深入推进重点生态功能区建设，持续推动水清岸绿产业优美丽长江经济带（东至段）建设，支持开展国家生态文明建设示范县、实践创新基地、全域旅游示范区创建工作，形成三产融合、生产生活生态协调的绿色发展新格局。</w:t>
      </w:r>
    </w:p>
    <w:p w14:paraId="7F2FCC45" w14:textId="77777777" w:rsidR="0062582F" w:rsidRDefault="00000000">
      <w:pPr>
        <w:spacing w:line="600" w:lineRule="exact"/>
        <w:ind w:firstLineChars="200" w:firstLine="640"/>
        <w:rPr>
          <w:rFonts w:ascii="Times New Roman" w:eastAsia="仿宋_GB2312" w:hAnsi="Times New Roman" w:cs="Times New Roman"/>
          <w:kern w:val="0"/>
          <w:sz w:val="32"/>
          <w:szCs w:val="30"/>
          <w14:ligatures w14:val="none"/>
        </w:rPr>
      </w:pPr>
      <w:r>
        <w:rPr>
          <w:rFonts w:ascii="Times New Roman" w:eastAsia="楷体" w:hAnsi="Times New Roman" w:cs="Times New Roman"/>
          <w:bCs/>
          <w:kern w:val="0"/>
          <w:sz w:val="32"/>
          <w:szCs w:val="30"/>
          <w14:ligatures w14:val="none"/>
        </w:rPr>
        <w:t>产城融合、集约集聚。</w:t>
      </w:r>
      <w:r>
        <w:rPr>
          <w:rFonts w:ascii="Times New Roman" w:eastAsia="仿宋_GB2312" w:hAnsi="Times New Roman" w:cs="Times New Roman"/>
          <w:kern w:val="0"/>
          <w:sz w:val="32"/>
          <w:szCs w:val="30"/>
          <w14:ligatures w14:val="none"/>
        </w:rPr>
        <w:t>主动融入国家</w:t>
      </w:r>
      <w:r>
        <w:rPr>
          <w:rFonts w:ascii="Times New Roman" w:eastAsia="仿宋_GB2312" w:hAnsi="Times New Roman" w:cs="Times New Roman" w:hint="eastAsia"/>
          <w:kern w:val="0"/>
          <w:sz w:val="32"/>
          <w:szCs w:val="30"/>
          <w14:ligatures w14:val="none"/>
        </w:rPr>
        <w:t>“</w:t>
      </w:r>
      <w:r>
        <w:rPr>
          <w:rFonts w:ascii="Times New Roman" w:eastAsia="仿宋_GB2312" w:hAnsi="Times New Roman" w:cs="Times New Roman"/>
          <w:kern w:val="0"/>
          <w:sz w:val="32"/>
          <w:szCs w:val="30"/>
          <w14:ligatures w14:val="none"/>
        </w:rPr>
        <w:t>双循环</w:t>
      </w:r>
      <w:r>
        <w:rPr>
          <w:rFonts w:ascii="Times New Roman" w:eastAsia="仿宋_GB2312" w:hAnsi="Times New Roman" w:cs="Times New Roman" w:hint="eastAsia"/>
          <w:kern w:val="0"/>
          <w:sz w:val="32"/>
          <w:szCs w:val="30"/>
          <w14:ligatures w14:val="none"/>
        </w:rPr>
        <w:t>”</w:t>
      </w:r>
      <w:r>
        <w:rPr>
          <w:rFonts w:ascii="Times New Roman" w:eastAsia="仿宋_GB2312" w:hAnsi="Times New Roman" w:cs="Times New Roman"/>
          <w:kern w:val="0"/>
          <w:sz w:val="32"/>
          <w:szCs w:val="30"/>
          <w14:ligatures w14:val="none"/>
        </w:rPr>
        <w:t>大格局，协调产业与城市之间的关系，让产业更加依附城市，让城市功能更好地服务于产业</w:t>
      </w:r>
      <w:r>
        <w:rPr>
          <w:rFonts w:ascii="Times New Roman" w:eastAsia="仿宋_GB2312" w:hAnsi="Times New Roman" w:cs="Times New Roman" w:hint="eastAsia"/>
          <w:kern w:val="0"/>
          <w:sz w:val="32"/>
          <w:szCs w:val="30"/>
          <w14:ligatures w14:val="none"/>
        </w:rPr>
        <w:t>。推进池州安徽东至经济开发区和安徽池州大渡口经济开发区（安徽石台经济开发区）产城融合发展，促进要素高效集中，建设用地节约集约利用。</w:t>
      </w:r>
    </w:p>
    <w:p w14:paraId="67BC6C4C" w14:textId="77777777" w:rsidR="0062582F" w:rsidRDefault="00000000">
      <w:pPr>
        <w:spacing w:line="600" w:lineRule="exact"/>
        <w:ind w:firstLineChars="200" w:firstLine="640"/>
        <w:rPr>
          <w:rFonts w:ascii="Times New Roman" w:eastAsia="仿宋_GB2312" w:hAnsi="Times New Roman" w:cs="Times New Roman"/>
          <w:kern w:val="0"/>
          <w:sz w:val="32"/>
          <w:szCs w:val="30"/>
          <w14:ligatures w14:val="none"/>
        </w:rPr>
      </w:pPr>
      <w:r>
        <w:rPr>
          <w:rFonts w:ascii="Times New Roman" w:eastAsia="楷体" w:hAnsi="Times New Roman" w:cs="Times New Roman" w:hint="eastAsia"/>
          <w:bCs/>
          <w:kern w:val="0"/>
          <w:sz w:val="32"/>
          <w:szCs w:val="30"/>
          <w14:ligatures w14:val="none"/>
        </w:rPr>
        <w:t>空间提质、彰显魅力。</w:t>
      </w:r>
      <w:r>
        <w:rPr>
          <w:rFonts w:ascii="Times New Roman" w:eastAsia="仿宋_GB2312" w:hAnsi="Times New Roman" w:cs="Times New Roman" w:hint="eastAsia"/>
          <w:kern w:val="0"/>
          <w:sz w:val="32"/>
          <w:szCs w:val="30"/>
          <w14:ligatures w14:val="none"/>
        </w:rPr>
        <w:t>推进以县城为重要载体的城镇化建设，提升县城公共服务设施和基础设施品质，塑造高品质魅力空间。逐步优化乡村居民点配置格局，</w:t>
      </w:r>
      <w:r>
        <w:rPr>
          <w:rFonts w:ascii="Times New Roman" w:eastAsia="仿宋_GB2312" w:hAnsi="Times New Roman" w:cs="Times New Roman"/>
          <w:kern w:val="0"/>
          <w:sz w:val="32"/>
          <w:szCs w:val="30"/>
          <w14:ligatures w14:val="none"/>
        </w:rPr>
        <w:t>分类推进美丽乡村建设，逐级完善城乡基础设施和公共服务设施配套，提升人居环境质</w:t>
      </w:r>
      <w:r>
        <w:rPr>
          <w:rFonts w:ascii="Times New Roman" w:eastAsia="仿宋_GB2312" w:hAnsi="Times New Roman" w:cs="Times New Roman"/>
          <w:kern w:val="0"/>
          <w:sz w:val="32"/>
          <w:szCs w:val="30"/>
          <w14:ligatures w14:val="none"/>
        </w:rPr>
        <w:lastRenderedPageBreak/>
        <w:t>量。整合生态、风景旅游和文化资源，坚持</w:t>
      </w:r>
      <w:r>
        <w:rPr>
          <w:rFonts w:ascii="Times New Roman" w:eastAsia="仿宋_GB2312" w:hAnsi="Times New Roman" w:cs="Times New Roman" w:hint="eastAsia"/>
          <w:kern w:val="0"/>
          <w:sz w:val="32"/>
          <w:szCs w:val="30"/>
          <w14:ligatures w14:val="none"/>
        </w:rPr>
        <w:t>“</w:t>
      </w:r>
      <w:r>
        <w:rPr>
          <w:rFonts w:ascii="Times New Roman" w:eastAsia="仿宋_GB2312" w:hAnsi="Times New Roman" w:cs="Times New Roman"/>
          <w:kern w:val="0"/>
          <w:sz w:val="32"/>
          <w:szCs w:val="30"/>
          <w14:ligatures w14:val="none"/>
        </w:rPr>
        <w:t>生态</w:t>
      </w:r>
      <w:r>
        <w:rPr>
          <w:rFonts w:ascii="Times New Roman" w:eastAsia="仿宋_GB2312" w:hAnsi="Times New Roman" w:cs="Times New Roman"/>
          <w:kern w:val="0"/>
          <w:sz w:val="32"/>
          <w:szCs w:val="30"/>
          <w14:ligatures w14:val="none"/>
        </w:rPr>
        <w:t>+</w:t>
      </w:r>
      <w:r>
        <w:rPr>
          <w:rFonts w:ascii="Times New Roman" w:eastAsia="仿宋_GB2312" w:hAnsi="Times New Roman" w:cs="Times New Roman" w:hint="eastAsia"/>
          <w:kern w:val="0"/>
          <w:sz w:val="32"/>
          <w:szCs w:val="30"/>
          <w14:ligatures w14:val="none"/>
        </w:rPr>
        <w:t>”“</w:t>
      </w:r>
      <w:r>
        <w:rPr>
          <w:rFonts w:ascii="Times New Roman" w:eastAsia="仿宋_GB2312" w:hAnsi="Times New Roman" w:cs="Times New Roman"/>
          <w:kern w:val="0"/>
          <w:sz w:val="32"/>
          <w:szCs w:val="30"/>
          <w14:ligatures w14:val="none"/>
        </w:rPr>
        <w:t>旅游</w:t>
      </w:r>
      <w:r>
        <w:rPr>
          <w:rFonts w:ascii="Times New Roman" w:eastAsia="仿宋_GB2312" w:hAnsi="Times New Roman" w:cs="Times New Roman"/>
          <w:kern w:val="0"/>
          <w:sz w:val="32"/>
          <w:szCs w:val="30"/>
          <w14:ligatures w14:val="none"/>
        </w:rPr>
        <w:t>+</w:t>
      </w:r>
      <w:r>
        <w:rPr>
          <w:rFonts w:ascii="Times New Roman" w:eastAsia="仿宋_GB2312" w:hAnsi="Times New Roman" w:cs="Times New Roman" w:hint="eastAsia"/>
          <w:kern w:val="0"/>
          <w:sz w:val="32"/>
          <w:szCs w:val="30"/>
          <w14:ligatures w14:val="none"/>
        </w:rPr>
        <w:t>”</w:t>
      </w:r>
      <w:r>
        <w:rPr>
          <w:rFonts w:ascii="Times New Roman" w:eastAsia="仿宋_GB2312" w:hAnsi="Times New Roman" w:cs="Times New Roman"/>
          <w:kern w:val="0"/>
          <w:sz w:val="32"/>
          <w:szCs w:val="30"/>
          <w14:ligatures w14:val="none"/>
        </w:rPr>
        <w:t>空间提质策略，促进在长三角城市网络中的差异化、品质化发展。</w:t>
      </w:r>
    </w:p>
    <w:p w14:paraId="42939BEA" w14:textId="77777777" w:rsidR="0062582F" w:rsidRDefault="00000000">
      <w:pPr>
        <w:spacing w:line="600" w:lineRule="exact"/>
        <w:ind w:firstLineChars="200" w:firstLine="640"/>
        <w:rPr>
          <w:rFonts w:ascii="Times New Roman" w:eastAsia="仿宋_GB2312" w:hAnsi="Times New Roman" w:cs="Times New Roman"/>
          <w:kern w:val="0"/>
          <w:sz w:val="32"/>
          <w:szCs w:val="30"/>
          <w14:ligatures w14:val="none"/>
        </w:rPr>
      </w:pPr>
      <w:r>
        <w:rPr>
          <w:rFonts w:ascii="Calibri" w:eastAsia="楷体" w:hAnsi="Calibri" w:cs="Times New Roman" w:hint="eastAsia"/>
          <w:bCs/>
          <w:kern w:val="0"/>
          <w:sz w:val="32"/>
          <w14:ligatures w14:val="none"/>
        </w:rPr>
        <w:t>区域协作，互连互通。</w:t>
      </w:r>
      <w:r>
        <w:rPr>
          <w:rFonts w:ascii="Times New Roman" w:eastAsia="仿宋_GB2312" w:hAnsi="Times New Roman" w:cs="Times New Roman" w:hint="eastAsia"/>
          <w:kern w:val="0"/>
          <w:sz w:val="32"/>
          <w:szCs w:val="30"/>
          <w14:ligatures w14:val="none"/>
        </w:rPr>
        <w:t>立足区位优势，全面深度融入长三角一体化和长江中游城市群发展，以交通基础设施建设完善为先导，完善综合交通及物流网络，实现“东进西联，南接北融”。打通优质资源要素流动通道，支撑建设省际交界地区高质量发展样板区。</w:t>
      </w:r>
    </w:p>
    <w:p w14:paraId="33D146F6" w14:textId="77777777" w:rsidR="0062582F" w:rsidRDefault="0062582F">
      <w:pPr>
        <w:spacing w:line="360" w:lineRule="auto"/>
        <w:ind w:leftChars="56" w:left="118" w:firstLineChars="200" w:firstLine="640"/>
        <w:jc w:val="left"/>
        <w:rPr>
          <w:rFonts w:ascii="Times New Roman" w:eastAsia="仿宋_GB2312" w:hAnsi="Times New Roman" w:cs="Times New Roman"/>
          <w:kern w:val="0"/>
          <w:sz w:val="32"/>
          <w:szCs w:val="30"/>
          <w14:ligatures w14:val="none"/>
        </w:rPr>
      </w:pPr>
    </w:p>
    <w:p w14:paraId="7E9C14DE" w14:textId="77777777" w:rsidR="0062582F" w:rsidRDefault="00000000">
      <w:pPr>
        <w:spacing w:line="360" w:lineRule="auto"/>
        <w:ind w:firstLineChars="200" w:firstLine="883"/>
        <w:jc w:val="left"/>
        <w:rPr>
          <w:rFonts w:ascii="Times New Roman" w:eastAsia="黑体" w:hAnsi="Times New Roman" w:cs="Times New Roman"/>
          <w:b/>
          <w:bCs/>
          <w:kern w:val="44"/>
          <w:sz w:val="44"/>
          <w:szCs w:val="44"/>
          <w14:ligatures w14:val="none"/>
        </w:rPr>
      </w:pPr>
      <w:r>
        <w:rPr>
          <w:rFonts w:ascii="Times New Roman" w:eastAsia="仿宋_GB2312" w:hAnsi="Times New Roman" w:cs="Times New Roman"/>
          <w:b/>
          <w:bCs/>
          <w:kern w:val="44"/>
          <w:sz w:val="44"/>
          <w:szCs w:val="44"/>
          <w14:ligatures w14:val="none"/>
        </w:rPr>
        <w:br w:type="page"/>
      </w:r>
    </w:p>
    <w:p w14:paraId="44D9901E"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30" w:name="_Toc164695078"/>
      <w:r>
        <w:rPr>
          <w:rFonts w:ascii="方正小标宋简体" w:eastAsia="方正小标宋简体" w:hAnsi="Times New Roman" w:cs="Times New Roman" w:hint="eastAsia"/>
          <w:b/>
          <w:bCs/>
          <w:kern w:val="44"/>
          <w:sz w:val="44"/>
          <w:szCs w:val="44"/>
          <w14:ligatures w14:val="none"/>
        </w:rPr>
        <w:lastRenderedPageBreak/>
        <w:t>第三章</w:t>
      </w:r>
      <w:r>
        <w:rPr>
          <w:rFonts w:ascii="方正小标宋简体" w:eastAsia="方正小标宋简体" w:hAnsi="Times New Roman" w:cs="Times New Roman"/>
          <w:b/>
          <w:bCs/>
          <w:kern w:val="44"/>
          <w:sz w:val="44"/>
          <w:szCs w:val="44"/>
          <w14:ligatures w14:val="none"/>
        </w:rPr>
        <w:tab/>
      </w:r>
      <w:r>
        <w:rPr>
          <w:rFonts w:ascii="方正小标宋简体" w:eastAsia="方正小标宋简体" w:hAnsi="Times New Roman" w:cs="Times New Roman" w:hint="eastAsia"/>
          <w:b/>
          <w:bCs/>
          <w:kern w:val="44"/>
          <w:sz w:val="44"/>
          <w:szCs w:val="44"/>
          <w14:ligatures w14:val="none"/>
        </w:rPr>
        <w:t>以“三区三线”为基础，构建美丽国土空间格局</w:t>
      </w:r>
      <w:bookmarkEnd w:id="30"/>
    </w:p>
    <w:p w14:paraId="697AB852" w14:textId="77777777"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r>
        <w:rPr>
          <w:rFonts w:ascii="Calibri" w:eastAsia="仿宋_GB2312" w:hAnsi="Calibri" w:cs="Times New Roman"/>
          <w:sz w:val="32"/>
          <w14:ligatures w14:val="none"/>
        </w:rPr>
        <w:t>落实国家、省</w:t>
      </w:r>
      <w:r>
        <w:rPr>
          <w:rFonts w:ascii="Calibri" w:eastAsia="仿宋_GB2312" w:hAnsi="Calibri" w:cs="Times New Roman" w:hint="eastAsia"/>
          <w:sz w:val="32"/>
          <w14:ligatures w14:val="none"/>
        </w:rPr>
        <w:t>、市</w:t>
      </w:r>
      <w:r>
        <w:rPr>
          <w:rFonts w:ascii="Calibri" w:eastAsia="仿宋_GB2312" w:hAnsi="Calibri" w:cs="Times New Roman"/>
          <w:sz w:val="32"/>
          <w14:ligatures w14:val="none"/>
        </w:rPr>
        <w:t>国土空间格局，</w:t>
      </w:r>
      <w:r>
        <w:rPr>
          <w:rFonts w:ascii="Calibri" w:eastAsia="仿宋_GB2312" w:hAnsi="Calibri" w:cs="Times New Roman" w:hint="eastAsia"/>
          <w:sz w:val="32"/>
          <w14:ligatures w14:val="none"/>
        </w:rPr>
        <w:t>以资源环境承载力评价与国土空间开发适宜性评价为依据</w:t>
      </w:r>
      <w:r>
        <w:rPr>
          <w:rFonts w:ascii="仿宋_GB2312" w:eastAsia="仿宋_GB2312" w:hAnsi="仿宋_GB2312" w:cs="Times New Roman" w:hint="eastAsia"/>
          <w:sz w:val="32"/>
          <w:szCs w:val="32"/>
          <w14:ligatures w14:val="none"/>
        </w:rPr>
        <w:t>，统筹划定落实“三区三线”，落实主体功能区布局，优化农业、生态、城镇等各类空间，构建“两区两带，一主两副”的国土空间开发保护总体格局。</w:t>
      </w:r>
    </w:p>
    <w:p w14:paraId="23FE116F"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31" w:name="_Toc122522341"/>
      <w:bookmarkStart w:id="32" w:name="_Toc164695079"/>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严守三条控制线</w:t>
      </w:r>
      <w:bookmarkEnd w:id="31"/>
      <w:bookmarkEnd w:id="32"/>
    </w:p>
    <w:p w14:paraId="64EF9B86" w14:textId="6061F8AB" w:rsidR="0062582F" w:rsidRDefault="00000000">
      <w:pPr>
        <w:spacing w:line="600" w:lineRule="exact"/>
        <w:ind w:firstLineChars="200" w:firstLine="643"/>
        <w:rPr>
          <w:rFonts w:ascii="仿宋_GB2312" w:eastAsia="仿宋_GB2312" w:hAnsi="仿宋_GB2312" w:cs="Times New Roman" w:hint="eastAsia"/>
          <w:sz w:val="32"/>
          <w:szCs w:val="32"/>
          <w14:ligatures w14:val="none"/>
        </w:rPr>
      </w:pPr>
      <w:bookmarkStart w:id="33" w:name="_Toc122522342"/>
      <w:r>
        <w:rPr>
          <w:rFonts w:ascii="仿宋_GB2312" w:eastAsia="仿宋_GB2312" w:hAnsi="仿宋_GB2312" w:cs="Times New Roman" w:hint="eastAsia"/>
          <w:b/>
          <w:bCs/>
          <w:sz w:val="32"/>
          <w:szCs w:val="32"/>
          <w14:ligatures w14:val="none"/>
        </w:rPr>
        <w:t>落实耕地和永久基本农田保护红线。</w:t>
      </w:r>
      <w:r w:rsidRPr="0055559C">
        <w:rPr>
          <w:rFonts w:ascii="仿宋_GB2312" w:eastAsia="仿宋_GB2312" w:hAnsi="仿宋_GB2312" w:cs="Times New Roman" w:hint="eastAsia"/>
          <w:sz w:val="32"/>
          <w:szCs w:val="32"/>
          <w14:ligatures w14:val="none"/>
        </w:rPr>
        <w:t>规划期内全县耕地保有量不少于</w:t>
      </w:r>
      <w:r w:rsidRPr="0055559C">
        <w:rPr>
          <w:rFonts w:ascii="仿宋_GB2312" w:eastAsia="仿宋_GB2312" w:hAnsi="仿宋_GB2312" w:cs="Times New Roman" w:hint="eastAsia"/>
          <w:sz w:val="32"/>
          <w14:ligatures w14:val="none"/>
        </w:rPr>
        <w:t>70.5</w:t>
      </w:r>
      <w:r w:rsidR="00680BC1" w:rsidRPr="0055559C">
        <w:rPr>
          <w:rFonts w:ascii="仿宋_GB2312" w:eastAsia="仿宋_GB2312" w:hAnsi="仿宋_GB2312" w:cs="Times New Roman" w:hint="eastAsia"/>
          <w:sz w:val="32"/>
          <w14:ligatures w14:val="none"/>
        </w:rPr>
        <w:t>7</w:t>
      </w:r>
      <w:r w:rsidRPr="0055559C">
        <w:rPr>
          <w:rFonts w:ascii="仿宋_GB2312" w:eastAsia="仿宋_GB2312" w:hAnsi="仿宋_GB2312" w:cs="Times New Roman" w:hint="eastAsia"/>
          <w:sz w:val="32"/>
          <w14:ligatures w14:val="none"/>
        </w:rPr>
        <w:t>万亩</w:t>
      </w:r>
      <w:r w:rsidRPr="0055559C">
        <w:rPr>
          <w:rFonts w:ascii="仿宋_GB2312" w:eastAsia="仿宋_GB2312" w:hAnsi="仿宋_GB2312" w:cs="Times New Roman" w:hint="eastAsia"/>
          <w:sz w:val="32"/>
          <w:szCs w:val="32"/>
          <w14:ligatures w14:val="none"/>
        </w:rPr>
        <w:t>（470.4</w:t>
      </w:r>
      <w:r w:rsidR="005F0659" w:rsidRPr="0055559C">
        <w:rPr>
          <w:rFonts w:ascii="仿宋_GB2312" w:eastAsia="仿宋_GB2312" w:hAnsi="仿宋_GB2312" w:cs="Times New Roman" w:hint="eastAsia"/>
          <w:sz w:val="32"/>
          <w:szCs w:val="32"/>
          <w14:ligatures w14:val="none"/>
        </w:rPr>
        <w:t>4</w:t>
      </w:r>
      <w:r w:rsidRPr="0055559C">
        <w:rPr>
          <w:rFonts w:ascii="仿宋_GB2312" w:eastAsia="仿宋_GB2312" w:hAnsi="仿宋_GB2312" w:cs="Times New Roman" w:hint="eastAsia"/>
          <w:sz w:val="32"/>
          <w:szCs w:val="32"/>
          <w14:ligatures w14:val="none"/>
        </w:rPr>
        <w:t>平方千米）</w:t>
      </w:r>
      <w:r>
        <w:rPr>
          <w:rFonts w:ascii="仿宋_GB2312" w:eastAsia="仿宋_GB2312" w:hAnsi="仿宋_GB2312" w:cs="Times New Roman" w:hint="eastAsia"/>
          <w:sz w:val="32"/>
          <w:szCs w:val="32"/>
          <w14:ligatures w14:val="none"/>
        </w:rPr>
        <w:t>，落实耕地“占补平衡”、实施耕地“进出平衡”。</w:t>
      </w:r>
      <w:r w:rsidRPr="0055559C">
        <w:rPr>
          <w:rFonts w:ascii="仿宋_GB2312" w:eastAsia="仿宋_GB2312" w:hAnsi="仿宋_GB2312" w:cs="Times New Roman" w:hint="eastAsia"/>
          <w:sz w:val="32"/>
          <w:szCs w:val="32"/>
          <w14:ligatures w14:val="none"/>
        </w:rPr>
        <w:t>规划期内永久基本农田面积不少于</w:t>
      </w:r>
      <w:r w:rsidRPr="0055559C">
        <w:rPr>
          <w:rFonts w:ascii="仿宋_GB2312" w:eastAsia="仿宋_GB2312" w:hAnsi="仿宋_GB2312" w:cs="Times New Roman" w:hint="eastAsia"/>
          <w:sz w:val="32"/>
          <w14:ligatures w14:val="none"/>
        </w:rPr>
        <w:t>63.43万亩（422.85平方千米）</w:t>
      </w:r>
      <w:r>
        <w:rPr>
          <w:rFonts w:ascii="仿宋_GB2312" w:eastAsia="仿宋_GB2312" w:hAnsi="仿宋_GB2312" w:cs="Times New Roman" w:hint="eastAsia"/>
          <w:sz w:val="32"/>
          <w:szCs w:val="32"/>
          <w14:ligatures w14:val="none"/>
        </w:rPr>
        <w:t>，严格实施耕地用途管制，耕地和永久基本农田未经批准不得擅自调整。</w:t>
      </w:r>
    </w:p>
    <w:p w14:paraId="572E5977" w14:textId="298D91BD" w:rsidR="0062582F" w:rsidRDefault="00000000">
      <w:pPr>
        <w:spacing w:line="600" w:lineRule="exact"/>
        <w:ind w:firstLineChars="200" w:firstLine="643"/>
        <w:rPr>
          <w:rFonts w:ascii="仿宋_GB2312" w:eastAsia="仿宋_GB2312" w:hAnsi="仿宋_GB2312" w:cs="Times New Roman" w:hint="eastAsia"/>
          <w:sz w:val="32"/>
          <w:szCs w:val="32"/>
          <w14:ligatures w14:val="none"/>
        </w:rPr>
      </w:pPr>
      <w:r>
        <w:rPr>
          <w:rFonts w:ascii="仿宋_GB2312" w:eastAsia="仿宋_GB2312" w:hAnsi="仿宋_GB2312" w:cs="Times New Roman" w:hint="eastAsia"/>
          <w:b/>
          <w:bCs/>
          <w:sz w:val="32"/>
          <w:szCs w:val="32"/>
          <w14:ligatures w14:val="none"/>
        </w:rPr>
        <w:t>落实生态保护红线。</w:t>
      </w:r>
      <w:r w:rsidRPr="0055559C">
        <w:rPr>
          <w:rFonts w:ascii="仿宋_GB2312" w:eastAsia="仿宋_GB2312" w:hAnsi="仿宋_GB2312" w:cs="Times New Roman" w:hint="eastAsia"/>
          <w:sz w:val="32"/>
          <w:szCs w:val="32"/>
          <w14:ligatures w14:val="none"/>
        </w:rPr>
        <w:t>规划期内全县划定生态保护红线不少于</w:t>
      </w:r>
      <w:r w:rsidRPr="0055559C">
        <w:rPr>
          <w:rFonts w:ascii="仿宋_GB2312" w:eastAsia="仿宋_GB2312" w:hAnsi="仿宋_GB2312" w:cs="Times New Roman"/>
          <w:sz w:val="32"/>
          <w:szCs w:val="32"/>
          <w14:ligatures w14:val="none"/>
        </w:rPr>
        <w:t>1001.49</w:t>
      </w:r>
      <w:r w:rsidRPr="0055559C">
        <w:rPr>
          <w:rFonts w:ascii="仿宋_GB2312" w:eastAsia="仿宋_GB2312" w:hAnsi="仿宋_GB2312" w:cs="Times New Roman" w:hint="eastAsia"/>
          <w:sz w:val="32"/>
          <w:szCs w:val="32"/>
          <w14:ligatures w14:val="none"/>
        </w:rPr>
        <w:t>平方千米</w:t>
      </w:r>
      <w:r>
        <w:rPr>
          <w:rFonts w:ascii="仿宋_GB2312" w:eastAsia="仿宋_GB2312" w:hAnsi="仿宋_GB2312" w:cs="Times New Roman" w:hint="eastAsia"/>
          <w:sz w:val="32"/>
          <w:szCs w:val="32"/>
          <w14:ligatures w14:val="none"/>
        </w:rPr>
        <w:t>。</w:t>
      </w:r>
    </w:p>
    <w:p w14:paraId="282B18C0" w14:textId="371CBC6E" w:rsidR="0062582F" w:rsidRDefault="00000000">
      <w:pPr>
        <w:spacing w:line="600" w:lineRule="exact"/>
        <w:ind w:firstLineChars="200" w:firstLine="643"/>
        <w:rPr>
          <w:rFonts w:ascii="仿宋_GB2312" w:eastAsia="仿宋_GB2312" w:hAnsi="仿宋_GB2312" w:cs="Times New Roman" w:hint="eastAsia"/>
          <w:sz w:val="32"/>
          <w:szCs w:val="32"/>
          <w14:ligatures w14:val="none"/>
        </w:rPr>
      </w:pPr>
      <w:r>
        <w:rPr>
          <w:rFonts w:ascii="仿宋_GB2312" w:eastAsia="仿宋_GB2312" w:hAnsi="仿宋_GB2312" w:cs="Times New Roman" w:hint="eastAsia"/>
          <w:b/>
          <w:bCs/>
          <w:sz w:val="32"/>
          <w:szCs w:val="32"/>
          <w14:ligatures w14:val="none"/>
        </w:rPr>
        <w:t>合理划定</w:t>
      </w:r>
      <w:bookmarkStart w:id="34" w:name="_Toc78960139"/>
      <w:r>
        <w:rPr>
          <w:rFonts w:ascii="仿宋_GB2312" w:eastAsia="仿宋_GB2312" w:hAnsi="仿宋_GB2312" w:cs="Times New Roman" w:hint="eastAsia"/>
          <w:b/>
          <w:bCs/>
          <w:sz w:val="32"/>
          <w:szCs w:val="32"/>
          <w14:ligatures w14:val="none"/>
        </w:rPr>
        <w:t>城镇开发边界</w:t>
      </w:r>
      <w:bookmarkEnd w:id="34"/>
      <w:r>
        <w:rPr>
          <w:rFonts w:ascii="仿宋_GB2312" w:eastAsia="仿宋_GB2312" w:hAnsi="仿宋_GB2312" w:cs="Times New Roman" w:hint="eastAsia"/>
          <w:b/>
          <w:bCs/>
          <w:sz w:val="32"/>
          <w:szCs w:val="32"/>
          <w14:ligatures w14:val="none"/>
        </w:rPr>
        <w:t>。</w:t>
      </w:r>
      <w:r>
        <w:rPr>
          <w:rFonts w:ascii="仿宋_GB2312" w:eastAsia="仿宋_GB2312" w:hAnsi="仿宋_GB2312" w:cs="Times New Roman" w:hint="eastAsia"/>
          <w:sz w:val="32"/>
          <w:szCs w:val="32"/>
          <w14:ligatures w14:val="none"/>
        </w:rPr>
        <w:t>在优先划定耕地和永久基本农田、生态保护红线的基础上，避让自然灾害高风险区域，结合城市发展规律和趋势，</w:t>
      </w:r>
      <w:r w:rsidRPr="0055559C">
        <w:rPr>
          <w:rFonts w:ascii="仿宋_GB2312" w:eastAsia="仿宋_GB2312" w:hAnsi="仿宋_GB2312" w:cs="Times New Roman" w:hint="eastAsia"/>
          <w:sz w:val="32"/>
          <w:szCs w:val="32"/>
          <w14:ligatures w14:val="none"/>
        </w:rPr>
        <w:t>全县划定城镇开发边界5</w:t>
      </w:r>
      <w:r w:rsidRPr="0055559C">
        <w:rPr>
          <w:rFonts w:ascii="仿宋_GB2312" w:eastAsia="仿宋_GB2312" w:hAnsi="仿宋_GB2312" w:cs="Times New Roman"/>
          <w:sz w:val="32"/>
          <w:szCs w:val="32"/>
          <w14:ligatures w14:val="none"/>
        </w:rPr>
        <w:t>1.16</w:t>
      </w:r>
      <w:r w:rsidRPr="0055559C">
        <w:rPr>
          <w:rFonts w:ascii="仿宋_GB2312" w:eastAsia="仿宋_GB2312" w:hAnsi="仿宋_GB2312" w:cs="Times New Roman" w:hint="eastAsia"/>
          <w:sz w:val="32"/>
          <w:szCs w:val="32"/>
          <w14:ligatures w14:val="none"/>
        </w:rPr>
        <w:t>平方千米</w:t>
      </w:r>
      <w:r>
        <w:rPr>
          <w:rFonts w:ascii="仿宋_GB2312" w:eastAsia="仿宋_GB2312" w:hAnsi="仿宋_GB2312" w:cs="Times New Roman" w:hint="eastAsia"/>
          <w:sz w:val="32"/>
          <w:szCs w:val="32"/>
          <w14:ligatures w14:val="none"/>
        </w:rPr>
        <w:t>。</w:t>
      </w:r>
    </w:p>
    <w:p w14:paraId="31E5E98D" w14:textId="77777777" w:rsidR="0062582F" w:rsidRDefault="00000000">
      <w:pPr>
        <w:keepNext/>
        <w:keepLines/>
        <w:spacing w:before="260" w:after="260" w:line="415" w:lineRule="auto"/>
        <w:jc w:val="center"/>
        <w:outlineLvl w:val="1"/>
        <w:rPr>
          <w:rFonts w:ascii="黑体" w:eastAsia="黑体" w:hAnsi="黑体" w:cs="Times New Roman" w:hint="eastAsia"/>
          <w:b/>
          <w:bCs/>
          <w:sz w:val="32"/>
          <w:szCs w:val="32"/>
          <w14:ligatures w14:val="none"/>
        </w:rPr>
      </w:pPr>
      <w:bookmarkStart w:id="35" w:name="_Toc164695080"/>
      <w:r>
        <w:rPr>
          <w:rFonts w:ascii="黑体" w:eastAsia="黑体" w:hAnsi="黑体" w:cs="Times New Roman" w:hint="eastAsia"/>
          <w:b/>
          <w:bCs/>
          <w:sz w:val="32"/>
          <w:szCs w:val="32"/>
          <w14:ligatures w14:val="none"/>
        </w:rPr>
        <w:lastRenderedPageBreak/>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落实主体功能区战略布局</w:t>
      </w:r>
      <w:bookmarkEnd w:id="33"/>
      <w:bookmarkEnd w:id="35"/>
    </w:p>
    <w:p w14:paraId="5C3D9426" w14:textId="77777777" w:rsidR="0062582F" w:rsidRDefault="00000000">
      <w:pPr>
        <w:spacing w:line="600" w:lineRule="exact"/>
        <w:ind w:firstLine="641"/>
        <w:rPr>
          <w:rFonts w:ascii="Calibri" w:eastAsia="仿宋_GB2312" w:hAnsi="Calibri" w:cs="Times New Roman"/>
          <w:sz w:val="32"/>
          <w14:ligatures w14:val="none"/>
        </w:rPr>
      </w:pPr>
      <w:r>
        <w:rPr>
          <w:rFonts w:ascii="楷体" w:eastAsia="楷体" w:hAnsi="楷体" w:cs="Times New Roman" w:hint="eastAsia"/>
          <w:sz w:val="32"/>
          <w14:ligatures w14:val="none"/>
        </w:rPr>
        <w:t>落实细化全县主体功能区定位。</w:t>
      </w:r>
      <w:r>
        <w:rPr>
          <w:rFonts w:ascii="Calibri" w:eastAsia="仿宋_GB2312" w:hAnsi="Calibri" w:cs="Times New Roman" w:hint="eastAsia"/>
          <w:sz w:val="32"/>
          <w14:ligatures w14:val="none"/>
        </w:rPr>
        <w:t>传导落实全国、安徽省、池州市主体功能区战略要求，保持东至县国家农产品主产区定位</w:t>
      </w:r>
      <w:r>
        <w:rPr>
          <w:rFonts w:ascii="Calibri" w:eastAsia="仿宋_GB2312" w:hAnsi="Calibri" w:cs="Times New Roman"/>
          <w:bCs/>
          <w:sz w:val="32"/>
          <w14:ligatures w14:val="none"/>
        </w:rPr>
        <w:t>，以乡镇、街道为单元细化农产品主产区和城市化地区</w:t>
      </w:r>
      <w:r>
        <w:rPr>
          <w:rFonts w:ascii="Calibri" w:eastAsia="仿宋_GB2312" w:hAnsi="Calibri" w:cs="Times New Roman" w:hint="eastAsia"/>
          <w:bCs/>
          <w:sz w:val="32"/>
          <w14:ligatures w14:val="none"/>
        </w:rPr>
        <w:t>两</w:t>
      </w:r>
      <w:r>
        <w:rPr>
          <w:rFonts w:ascii="Calibri" w:eastAsia="仿宋_GB2312" w:hAnsi="Calibri" w:cs="Times New Roman"/>
          <w:bCs/>
          <w:sz w:val="32"/>
          <w14:ligatures w14:val="none"/>
        </w:rPr>
        <w:t>类主体功能定位，制定差异化战略，精准施策。</w:t>
      </w:r>
    </w:p>
    <w:p w14:paraId="6A580C00" w14:textId="64758759" w:rsidR="0062582F" w:rsidRDefault="00000000">
      <w:pPr>
        <w:spacing w:line="600" w:lineRule="exact"/>
        <w:ind w:leftChars="56" w:left="118" w:firstLine="641"/>
        <w:rPr>
          <w:rFonts w:ascii="Calibri" w:eastAsia="仿宋_GB2312" w:hAnsi="Calibri" w:cs="Times New Roman"/>
          <w:sz w:val="32"/>
          <w14:ligatures w14:val="none"/>
        </w:rPr>
      </w:pPr>
      <w:bookmarkStart w:id="36" w:name="_Toc122522343"/>
      <w:r>
        <w:rPr>
          <w:rFonts w:ascii="Calibri" w:eastAsia="楷体" w:hAnsi="Calibri" w:cs="Times New Roman"/>
          <w:sz w:val="32"/>
          <w14:ligatures w14:val="none"/>
        </w:rPr>
        <w:t>落实农产品主产区布局。</w:t>
      </w:r>
      <w:r>
        <w:rPr>
          <w:rFonts w:ascii="Calibri" w:eastAsia="仿宋_GB2312" w:hAnsi="Calibri" w:cs="Times New Roman"/>
          <w:sz w:val="32"/>
          <w14:ligatures w14:val="none"/>
        </w:rPr>
        <w:t>将保障农产品生产和供给安全的重要区域划入农产品主产区。</w:t>
      </w:r>
    </w:p>
    <w:p w14:paraId="4ED13FE1" w14:textId="3AA2683E" w:rsidR="0062582F" w:rsidRDefault="00000000">
      <w:pPr>
        <w:spacing w:line="600" w:lineRule="exact"/>
        <w:ind w:leftChars="56" w:left="118" w:firstLine="641"/>
        <w:rPr>
          <w:rFonts w:ascii="Calibri" w:eastAsia="仿宋_GB2312" w:hAnsi="Calibri" w:cs="Times New Roman"/>
          <w:sz w:val="32"/>
          <w14:ligatures w14:val="none"/>
        </w:rPr>
      </w:pPr>
      <w:r>
        <w:rPr>
          <w:rFonts w:ascii="Calibri" w:eastAsia="楷体" w:hAnsi="Calibri" w:cs="Times New Roman"/>
          <w:bCs/>
          <w:kern w:val="0"/>
          <w:sz w:val="32"/>
          <w14:ligatures w14:val="none"/>
        </w:rPr>
        <w:t>完善城市化地区布局。</w:t>
      </w:r>
      <w:r>
        <w:rPr>
          <w:rFonts w:ascii="Calibri" w:eastAsia="仿宋_GB2312" w:hAnsi="Calibri" w:cs="Times New Roman"/>
          <w:sz w:val="32"/>
          <w14:ligatures w14:val="none"/>
        </w:rPr>
        <w:t>将带动</w:t>
      </w:r>
      <w:r w:rsidR="0055559C">
        <w:rPr>
          <w:rFonts w:ascii="Calibri" w:eastAsia="仿宋_GB2312" w:hAnsi="Calibri" w:cs="Times New Roman" w:hint="eastAsia"/>
          <w:sz w:val="32"/>
          <w14:ligatures w14:val="none"/>
        </w:rPr>
        <w:t>县</w:t>
      </w:r>
      <w:r>
        <w:rPr>
          <w:rFonts w:ascii="Calibri" w:eastAsia="仿宋_GB2312" w:hAnsi="Calibri" w:cs="Times New Roman"/>
          <w:sz w:val="32"/>
          <w14:ligatures w14:val="none"/>
        </w:rPr>
        <w:t>域经济社会发展、促进区域协调发展的重要支撑区域划入城市化地区。</w:t>
      </w:r>
    </w:p>
    <w:p w14:paraId="4C8C7972" w14:textId="630E82D9" w:rsidR="0062582F" w:rsidRDefault="00000000">
      <w:pPr>
        <w:spacing w:line="600" w:lineRule="exact"/>
        <w:ind w:leftChars="56" w:left="118" w:firstLine="641"/>
        <w:rPr>
          <w:rFonts w:ascii="Calibri" w:eastAsia="仿宋_GB2312" w:hAnsi="Calibri" w:cs="Times New Roman"/>
          <w:sz w:val="32"/>
          <w14:ligatures w14:val="none"/>
        </w:rPr>
      </w:pPr>
      <w:r>
        <w:rPr>
          <w:rFonts w:ascii="Calibri" w:eastAsia="楷体" w:hAnsi="Calibri" w:cs="Times New Roman"/>
          <w:bCs/>
          <w:kern w:val="0"/>
          <w:sz w:val="32"/>
          <w14:ligatures w14:val="none"/>
        </w:rPr>
        <w:t>叠加历史文化资源富集区和能源资源富集区。</w:t>
      </w:r>
      <w:r>
        <w:rPr>
          <w:rFonts w:ascii="Calibri" w:eastAsia="仿宋_GB2312" w:hAnsi="Calibri" w:cs="Times New Roman"/>
          <w:sz w:val="32"/>
          <w14:ligatures w14:val="none"/>
        </w:rPr>
        <w:t>根据全</w:t>
      </w:r>
      <w:r>
        <w:rPr>
          <w:rFonts w:ascii="Calibri" w:eastAsia="仿宋_GB2312" w:hAnsi="Calibri" w:cs="Times New Roman" w:hint="eastAsia"/>
          <w:sz w:val="32"/>
          <w14:ligatures w14:val="none"/>
        </w:rPr>
        <w:t>县</w:t>
      </w:r>
      <w:r>
        <w:rPr>
          <w:rFonts w:ascii="Calibri" w:eastAsia="仿宋_GB2312" w:hAnsi="Calibri" w:cs="Times New Roman"/>
          <w:sz w:val="32"/>
          <w14:ligatures w14:val="none"/>
        </w:rPr>
        <w:t>历史文化遗存分布情况，在主体功能上叠加历史文化资源富集区功能。</w:t>
      </w:r>
    </w:p>
    <w:p w14:paraId="441BFB08" w14:textId="77777777" w:rsidR="0062582F" w:rsidRDefault="00000000">
      <w:pPr>
        <w:keepNext/>
        <w:keepLines/>
        <w:spacing w:before="260" w:after="260" w:line="415" w:lineRule="auto"/>
        <w:jc w:val="center"/>
        <w:outlineLvl w:val="1"/>
        <w:rPr>
          <w:rFonts w:ascii="黑体" w:eastAsia="黑体" w:hAnsi="黑体" w:cs="Times New Roman" w:hint="eastAsia"/>
          <w:b/>
          <w:bCs/>
          <w:sz w:val="32"/>
          <w:szCs w:val="32"/>
          <w14:ligatures w14:val="none"/>
        </w:rPr>
      </w:pPr>
      <w:bookmarkStart w:id="37" w:name="_Toc164695081"/>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构建国土空间总体格局</w:t>
      </w:r>
      <w:bookmarkEnd w:id="36"/>
      <w:bookmarkEnd w:id="37"/>
    </w:p>
    <w:p w14:paraId="007A3BF9" w14:textId="77777777"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构建</w:t>
      </w:r>
      <w:bookmarkStart w:id="38" w:name="_Hlk134434107"/>
      <w:r>
        <w:rPr>
          <w:rFonts w:ascii="楷体" w:eastAsia="楷体" w:hAnsi="楷体" w:cs="Times New Roman" w:hint="eastAsia"/>
          <w:sz w:val="32"/>
          <w14:ligatures w14:val="none"/>
        </w:rPr>
        <w:t>“两区两带，一主两副”</w:t>
      </w:r>
      <w:bookmarkEnd w:id="38"/>
      <w:r>
        <w:rPr>
          <w:rFonts w:ascii="楷体" w:eastAsia="楷体" w:hAnsi="楷体" w:cs="Times New Roman" w:hint="eastAsia"/>
          <w:sz w:val="32"/>
          <w14:ligatures w14:val="none"/>
        </w:rPr>
        <w:t>的国土空间总体格局。</w:t>
      </w:r>
      <w:r>
        <w:rPr>
          <w:rFonts w:ascii="Calibri" w:eastAsia="仿宋_GB2312" w:hAnsi="Calibri" w:cs="Times New Roman"/>
          <w:sz w:val="32"/>
          <w14:ligatures w14:val="none"/>
        </w:rPr>
        <w:t>落实</w:t>
      </w:r>
      <w:r>
        <w:rPr>
          <w:rFonts w:ascii="Calibri" w:eastAsia="仿宋_GB2312" w:hAnsi="Calibri" w:cs="Times New Roman" w:hint="eastAsia"/>
          <w:sz w:val="32"/>
          <w14:ligatures w14:val="none"/>
        </w:rPr>
        <w:t>池州市“一原一屏多中心”的国土空间总体格局。</w:t>
      </w:r>
      <w:r>
        <w:rPr>
          <w:rFonts w:ascii="Calibri" w:eastAsia="仿宋_GB2312" w:hAnsi="Calibri" w:cs="Times New Roman"/>
          <w:sz w:val="32"/>
          <w14:ligatures w14:val="none"/>
        </w:rPr>
        <w:t>尊重自然地理格局，</w:t>
      </w:r>
      <w:r>
        <w:rPr>
          <w:rFonts w:ascii="Calibri" w:eastAsia="仿宋_GB2312" w:hAnsi="Calibri" w:cs="Times New Roman" w:hint="eastAsia"/>
          <w:kern w:val="0"/>
          <w:sz w:val="31"/>
          <w:szCs w:val="31"/>
          <w14:ligatures w14:val="none"/>
        </w:rPr>
        <w:t>积极融入区域发展，</w:t>
      </w:r>
      <w:r>
        <w:rPr>
          <w:rFonts w:ascii="Calibri" w:eastAsia="仿宋_GB2312" w:hAnsi="Calibri" w:cs="Times New Roman"/>
          <w:kern w:val="0"/>
          <w:sz w:val="31"/>
          <w:szCs w:val="31"/>
          <w14:ligatures w14:val="none"/>
        </w:rPr>
        <w:t>深化落实主体功能区战略，</w:t>
      </w:r>
      <w:bookmarkStart w:id="39" w:name="_Hlk165904416"/>
      <w:r>
        <w:rPr>
          <w:rFonts w:ascii="仿宋_GB2312" w:eastAsia="仿宋_GB2312" w:hAnsi="仿宋_GB2312" w:cs="Times New Roman" w:hint="eastAsia"/>
          <w:sz w:val="32"/>
          <w:szCs w:val="32"/>
          <w14:ligatures w14:val="none"/>
        </w:rPr>
        <w:t>以“做强沿江一线，提升南部一片”为基本策略，塑造由尧渡</w:t>
      </w:r>
      <w:r>
        <w:rPr>
          <w:rFonts w:ascii="仿宋_GB2312" w:eastAsia="仿宋_GB2312" w:hAnsi="Calibri" w:cs="Times New Roman" w:hint="eastAsia"/>
          <w:bCs/>
          <w:sz w:val="32"/>
          <w:szCs w:val="32"/>
          <w14:ligatures w14:val="none"/>
        </w:rPr>
        <w:t>—</w:t>
      </w:r>
      <w:r>
        <w:rPr>
          <w:rFonts w:ascii="仿宋_GB2312" w:eastAsia="仿宋_GB2312" w:hAnsi="仿宋_GB2312" w:cs="Times New Roman" w:hint="eastAsia"/>
          <w:sz w:val="32"/>
          <w:szCs w:val="32"/>
          <w14:ligatures w14:val="none"/>
        </w:rPr>
        <w:t>东流为核心、园区为节点、腹地为生态区的结构鲜明、疏密有致的国土空间开发保护总体格局。</w:t>
      </w:r>
      <w:bookmarkEnd w:id="39"/>
    </w:p>
    <w:p w14:paraId="1A557089"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40" w:name="_Toc122522344"/>
      <w:bookmarkStart w:id="41" w:name="_Toc164695082"/>
      <w:r>
        <w:rPr>
          <w:rFonts w:ascii="黑体" w:eastAsia="黑体" w:hAnsi="黑体" w:cs="Times New Roman" w:hint="eastAsia"/>
          <w:b/>
          <w:bCs/>
          <w:sz w:val="32"/>
          <w:szCs w:val="32"/>
          <w14:ligatures w14:val="none"/>
        </w:rPr>
        <w:lastRenderedPageBreak/>
        <w:t>第四节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优化规划分区和用地结构</w:t>
      </w:r>
      <w:bookmarkEnd w:id="40"/>
      <w:bookmarkEnd w:id="41"/>
    </w:p>
    <w:p w14:paraId="5ACAE626" w14:textId="3BC8DF99" w:rsidR="0062582F" w:rsidRDefault="00000000">
      <w:pPr>
        <w:spacing w:line="600" w:lineRule="exact"/>
        <w:ind w:firstLineChars="200" w:firstLine="640"/>
        <w:rPr>
          <w:rFonts w:ascii="仿宋_GB2312" w:eastAsia="仿宋_GB2312" w:hAnsi="Times New Roman" w:cs="Times New Roman"/>
          <w:sz w:val="32"/>
          <w14:ligatures w14:val="none"/>
        </w:rPr>
      </w:pPr>
      <w:bookmarkStart w:id="42" w:name="_Toc122522345"/>
      <w:r>
        <w:rPr>
          <w:rFonts w:ascii="Calibri" w:eastAsia="楷体" w:hAnsi="Calibri" w:cs="Times New Roman"/>
          <w:sz w:val="32"/>
          <w14:ligatures w14:val="none"/>
        </w:rPr>
        <w:t>划定国土空间保护与保留功能属性规划分区。</w:t>
      </w:r>
      <w:r>
        <w:rPr>
          <w:rFonts w:ascii="仿宋_GB2312" w:eastAsia="仿宋_GB2312" w:hAnsi="Times New Roman" w:cs="Times New Roman" w:hint="eastAsia"/>
          <w:sz w:val="32"/>
          <w14:ligatures w14:val="none"/>
        </w:rPr>
        <w:t>统筹协调全县保护与发展，以国土空间保护与保留功能属性为基本取向，在县域范围内划定生态保护区、生态控制区和农田保护区三类一级规划分区。</w:t>
      </w:r>
    </w:p>
    <w:p w14:paraId="34EC2A5B" w14:textId="7E7180FE" w:rsidR="0062582F" w:rsidRDefault="00000000">
      <w:pPr>
        <w:spacing w:line="600" w:lineRule="exact"/>
        <w:ind w:firstLineChars="200" w:firstLine="640"/>
        <w:rPr>
          <w:rFonts w:ascii="仿宋_GB2312" w:eastAsia="仿宋_GB2312" w:hAnsi="Times New Roman" w:cs="Times New Roman"/>
          <w:sz w:val="32"/>
          <w14:ligatures w14:val="none"/>
        </w:rPr>
      </w:pPr>
      <w:r>
        <w:rPr>
          <w:rFonts w:ascii="Calibri" w:eastAsia="楷体" w:hAnsi="Calibri" w:cs="Times New Roman"/>
          <w:sz w:val="32"/>
          <w14:ligatures w14:val="none"/>
        </w:rPr>
        <w:t>划定国土空间开发与利用功能属性规划分区。</w:t>
      </w:r>
      <w:r>
        <w:rPr>
          <w:rFonts w:ascii="仿宋_GB2312" w:eastAsia="仿宋_GB2312" w:hAnsi="Times New Roman" w:cs="Times New Roman" w:hint="eastAsia"/>
          <w:sz w:val="32"/>
          <w14:ligatures w14:val="none"/>
        </w:rPr>
        <w:t>划定城镇发展区、乡村发展区和矿产能源发展区三类一级规划分区。</w:t>
      </w:r>
    </w:p>
    <w:p w14:paraId="03EEF043" w14:textId="560549E0" w:rsidR="0062582F" w:rsidRDefault="00000000">
      <w:pPr>
        <w:spacing w:line="600" w:lineRule="exact"/>
        <w:ind w:firstLineChars="200" w:firstLine="640"/>
        <w:rPr>
          <w:rFonts w:ascii="仿宋_GB2312" w:eastAsia="仿宋_GB2312" w:hAnsi="Times New Roman" w:cs="Times New Roman"/>
          <w:sz w:val="32"/>
          <w14:ligatures w14:val="none"/>
        </w:rPr>
      </w:pPr>
      <w:r>
        <w:rPr>
          <w:rFonts w:ascii="楷体" w:eastAsia="楷体" w:hAnsi="楷体" w:cs="Times New Roman" w:hint="eastAsia"/>
          <w:sz w:val="32"/>
          <w14:ligatures w14:val="none"/>
        </w:rPr>
        <w:t>合理优化农用地结构。</w:t>
      </w:r>
      <w:r>
        <w:rPr>
          <w:rFonts w:ascii="仿宋_GB2312" w:eastAsia="仿宋_GB2312" w:hAnsi="仿宋_GB2312" w:cs="Times New Roman" w:hint="eastAsia"/>
          <w:sz w:val="32"/>
          <w:szCs w:val="32"/>
          <w14:ligatures w14:val="none"/>
        </w:rPr>
        <w:t>以稳定粮食产量和粮食产能为目标，着眼于稳定耕地面积和提高地力，</w:t>
      </w:r>
      <w:r>
        <w:rPr>
          <w:rFonts w:ascii="仿宋_GB2312" w:eastAsia="仿宋_GB2312" w:hAnsi="Times New Roman" w:cs="Times New Roman" w:hint="eastAsia"/>
          <w:sz w:val="32"/>
          <w14:ligatures w14:val="none"/>
        </w:rPr>
        <w:t>优先保障耕地，进一步严格耕地用途管制，防止耕地“非粮化”，牢牢守住耕地保护红线和粮食安全底线。</w:t>
      </w:r>
    </w:p>
    <w:p w14:paraId="0083F6E3" w14:textId="278107FA" w:rsidR="0062582F" w:rsidRDefault="00000000">
      <w:pPr>
        <w:spacing w:line="600" w:lineRule="exact"/>
        <w:ind w:firstLineChars="200" w:firstLine="640"/>
        <w:rPr>
          <w:rFonts w:ascii="仿宋_GB2312" w:eastAsia="仿宋_GB2312" w:hAnsi="Times New Roman" w:cs="Times New Roman"/>
          <w:sz w:val="32"/>
          <w14:ligatures w14:val="none"/>
        </w:rPr>
      </w:pPr>
      <w:r>
        <w:rPr>
          <w:rFonts w:ascii="楷体" w:eastAsia="楷体" w:hAnsi="楷体" w:cs="Times New Roman" w:hint="eastAsia"/>
          <w:sz w:val="32"/>
          <w14:ligatures w14:val="none"/>
        </w:rPr>
        <w:t>科学优化建设用地结构。</w:t>
      </w:r>
      <w:r>
        <w:rPr>
          <w:rFonts w:ascii="仿宋_GB2312" w:eastAsia="仿宋_GB2312" w:hAnsi="Times New Roman" w:cs="Times New Roman" w:hint="eastAsia"/>
          <w:sz w:val="32"/>
          <w14:ligatures w14:val="none"/>
        </w:rPr>
        <w:t>以“框定总量、限定容量、盘活存量、做优增量、用好流量、提高质量”为原则，优化城乡建设用地内部结构，适度增加城镇建设用地，推进村庄建设用地集约化发展，逐步增加城乡建设用地增减挂钩、工矿废弃地复垦利用和城镇低效用地再开发，盘活利用闲置土地，释放存量建设用地空间。</w:t>
      </w:r>
    </w:p>
    <w:p w14:paraId="61A30CF3" w14:textId="04AE811E" w:rsidR="0062582F" w:rsidRDefault="00000000">
      <w:pPr>
        <w:spacing w:line="600" w:lineRule="exact"/>
        <w:ind w:leftChars="56" w:left="118" w:firstLine="640"/>
        <w:rPr>
          <w:rFonts w:ascii="Calibri" w:eastAsia="仿宋_GB2312" w:hAnsi="Calibri" w:cs="Times New Roman"/>
          <w:sz w:val="32"/>
          <w14:ligatures w14:val="none"/>
        </w:rPr>
      </w:pPr>
      <w:r>
        <w:rPr>
          <w:rFonts w:ascii="Calibri" w:eastAsia="楷体" w:hAnsi="Calibri" w:cs="Times New Roman"/>
          <w:sz w:val="32"/>
          <w14:ligatures w14:val="none"/>
        </w:rPr>
        <w:t>科学保护未利用地等其他用地。</w:t>
      </w:r>
      <w:r>
        <w:rPr>
          <w:rFonts w:ascii="Calibri" w:eastAsia="仿宋_GB2312" w:hAnsi="Calibri" w:cs="Times New Roman"/>
          <w:sz w:val="32"/>
          <w14:ligatures w14:val="none"/>
        </w:rPr>
        <w:t>严格保护</w:t>
      </w:r>
      <w:r>
        <w:rPr>
          <w:rFonts w:ascii="Calibri" w:eastAsia="仿宋_GB2312" w:hAnsi="Calibri" w:cs="Times New Roman" w:hint="eastAsia"/>
          <w:sz w:val="32"/>
          <w14:ligatures w14:val="none"/>
        </w:rPr>
        <w:t>县</w:t>
      </w:r>
      <w:r>
        <w:rPr>
          <w:rFonts w:ascii="Calibri" w:eastAsia="仿宋_GB2312" w:hAnsi="Calibri" w:cs="Times New Roman"/>
          <w:sz w:val="32"/>
          <w14:ligatures w14:val="none"/>
        </w:rPr>
        <w:t>域湿地、水域等用地，确保水系、蓄水、泄洪等通道畅通。加快湿地保护、修复与建设，保持湿地、水域空间面积总体稳定。</w:t>
      </w:r>
    </w:p>
    <w:p w14:paraId="47349FBE" w14:textId="6FAC5AB5" w:rsidR="0062582F" w:rsidRDefault="00000000">
      <w:pPr>
        <w:widowControl/>
        <w:spacing w:line="600" w:lineRule="exact"/>
        <w:ind w:firstLineChars="200" w:firstLine="883"/>
        <w:rPr>
          <w:rFonts w:ascii="Times New Roman" w:eastAsia="黑体" w:hAnsi="Times New Roman" w:cs="Times New Roman"/>
          <w:b/>
          <w:bCs/>
          <w:kern w:val="44"/>
          <w:sz w:val="44"/>
          <w:szCs w:val="44"/>
          <w14:ligatures w14:val="none"/>
        </w:rPr>
      </w:pPr>
      <w:r>
        <w:rPr>
          <w:rFonts w:ascii="Times New Roman" w:eastAsia="仿宋_GB2312" w:hAnsi="Times New Roman" w:cs="Times New Roman"/>
          <w:b/>
          <w:bCs/>
          <w:kern w:val="44"/>
          <w:sz w:val="44"/>
          <w:szCs w:val="44"/>
          <w14:ligatures w14:val="none"/>
        </w:rPr>
        <w:br w:type="page"/>
      </w:r>
    </w:p>
    <w:p w14:paraId="48E11CAE"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43" w:name="_Toc164695083"/>
      <w:r>
        <w:rPr>
          <w:rFonts w:ascii="方正小标宋简体" w:eastAsia="方正小标宋简体" w:hAnsi="Times New Roman" w:cs="Times New Roman" w:hint="eastAsia"/>
          <w:b/>
          <w:bCs/>
          <w:kern w:val="44"/>
          <w:sz w:val="44"/>
          <w:szCs w:val="44"/>
          <w14:ligatures w14:val="none"/>
        </w:rPr>
        <w:lastRenderedPageBreak/>
        <w:t>第四章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保障农业空间，支持推进乡村振兴</w:t>
      </w:r>
      <w:bookmarkEnd w:id="42"/>
      <w:bookmarkEnd w:id="43"/>
    </w:p>
    <w:p w14:paraId="7F16252F" w14:textId="77777777" w:rsidR="0062582F" w:rsidRDefault="00000000">
      <w:pPr>
        <w:widowControl/>
        <w:spacing w:line="600" w:lineRule="exact"/>
        <w:ind w:firstLine="641"/>
        <w:rPr>
          <w:rFonts w:ascii="Calibri" w:eastAsia="仿宋_GB2312" w:hAnsi="Calibri" w:cs="Times New Roman"/>
          <w:sz w:val="32"/>
          <w14:ligatures w14:val="none"/>
        </w:rPr>
      </w:pPr>
      <w:r>
        <w:rPr>
          <w:rFonts w:ascii="Calibri" w:eastAsia="仿宋_GB2312" w:hAnsi="Calibri" w:cs="Times New Roman" w:hint="eastAsia"/>
          <w:sz w:val="32"/>
          <w14:ligatures w14:val="none"/>
        </w:rPr>
        <w:t>立足东至县国家农产品主产区定位，</w:t>
      </w:r>
      <w:r>
        <w:rPr>
          <w:rFonts w:ascii="Calibri" w:eastAsia="仿宋_GB2312" w:hAnsi="Calibri" w:cs="Times New Roman"/>
          <w:sz w:val="32"/>
          <w14:ligatures w14:val="none"/>
        </w:rPr>
        <w:t>全方位夯实粮食安全根基，严格保护耕地资源。支撑</w:t>
      </w:r>
      <w:r>
        <w:rPr>
          <w:rFonts w:ascii="Calibri" w:eastAsia="仿宋_GB2312" w:hAnsi="Calibri" w:cs="Times New Roman" w:hint="eastAsia"/>
          <w:sz w:val="32"/>
          <w14:ligatures w14:val="none"/>
        </w:rPr>
        <w:t>绿色有机农产品生产供应地建设，</w:t>
      </w:r>
      <w:r>
        <w:rPr>
          <w:rFonts w:ascii="Calibri" w:eastAsia="仿宋_GB2312" w:hAnsi="Calibri" w:cs="Times New Roman"/>
          <w:sz w:val="32"/>
          <w14:ligatures w14:val="none"/>
        </w:rPr>
        <w:t>优化乡村空间布局，强化村庄规划引领，加强农村土地综合整治，支撑建设宜居宜业和美乡村。</w:t>
      </w:r>
    </w:p>
    <w:p w14:paraId="222D15E8" w14:textId="21199DF7" w:rsidR="0062582F" w:rsidRDefault="00000000">
      <w:pPr>
        <w:keepNext/>
        <w:keepLines/>
        <w:spacing w:before="260" w:after="260" w:line="415" w:lineRule="auto"/>
        <w:jc w:val="center"/>
        <w:outlineLvl w:val="1"/>
        <w:rPr>
          <w:rFonts w:ascii="黑体" w:eastAsia="黑体" w:hAnsi="黑体" w:cs="Times New Roman" w:hint="eastAsia"/>
          <w:b/>
          <w:bCs/>
          <w:sz w:val="32"/>
          <w:szCs w:val="32"/>
          <w14:ligatures w14:val="none"/>
        </w:rPr>
      </w:pPr>
      <w:bookmarkStart w:id="44" w:name="_Toc122522347"/>
      <w:bookmarkStart w:id="45" w:name="_Toc164695085"/>
      <w:r>
        <w:rPr>
          <w:rFonts w:ascii="黑体" w:eastAsia="黑体" w:hAnsi="黑体" w:cs="Times New Roman" w:hint="eastAsia"/>
          <w:b/>
          <w:bCs/>
          <w:sz w:val="32"/>
          <w:szCs w:val="32"/>
          <w14:ligatures w14:val="none"/>
        </w:rPr>
        <w:t>第</w:t>
      </w:r>
      <w:r w:rsidR="0066194A">
        <w:rPr>
          <w:rFonts w:ascii="黑体" w:eastAsia="黑体" w:hAnsi="黑体" w:cs="Times New Roman" w:hint="eastAsia"/>
          <w:b/>
          <w:bCs/>
          <w:sz w:val="32"/>
          <w:szCs w:val="32"/>
          <w14:ligatures w14:val="none"/>
        </w:rPr>
        <w:t>一</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构建农业空间格局</w:t>
      </w:r>
      <w:bookmarkEnd w:id="44"/>
      <w:bookmarkEnd w:id="45"/>
    </w:p>
    <w:p w14:paraId="7FF88B0A" w14:textId="21BE8136" w:rsidR="0062582F" w:rsidRDefault="00000000" w:rsidP="008635CD">
      <w:pPr>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优化农业生产空间布局。</w:t>
      </w:r>
      <w:r>
        <w:rPr>
          <w:rFonts w:ascii="仿宋_GB2312" w:eastAsia="仿宋_GB2312" w:hAnsi="仿宋_GB2312" w:cs="Times New Roman" w:hint="eastAsia"/>
          <w:sz w:val="32"/>
          <w:szCs w:val="32"/>
          <w14:ligatures w14:val="none"/>
        </w:rPr>
        <w:t>立足资源优势，大力发展“两品一标”农产品，加强绿色、有机和地理标志农产品认证，推进特色农业产业化发展，建设面向长三角区域的绿色农产品供应基地，</w:t>
      </w:r>
      <w:bookmarkStart w:id="46" w:name="_Hlk165908888"/>
      <w:r>
        <w:rPr>
          <w:rFonts w:ascii="仿宋_GB2312" w:eastAsia="仿宋_GB2312" w:hAnsi="仿宋_GB2312" w:cs="Times New Roman" w:hint="eastAsia"/>
          <w:sz w:val="32"/>
          <w:szCs w:val="32"/>
          <w14:ligatures w14:val="none"/>
        </w:rPr>
        <w:t>创建省绿色食品加工产业特色产业集群（基地），形成“一原一区多园”的农业空间格局</w:t>
      </w:r>
      <w:bookmarkEnd w:id="46"/>
      <w:r>
        <w:rPr>
          <w:rFonts w:ascii="仿宋_GB2312" w:eastAsia="仿宋_GB2312" w:hAnsi="仿宋_GB2312" w:cs="Times New Roman" w:hint="eastAsia"/>
          <w:sz w:val="32"/>
          <w:szCs w:val="32"/>
          <w14:ligatures w14:val="none"/>
        </w:rPr>
        <w:t>。</w:t>
      </w:r>
    </w:p>
    <w:p w14:paraId="7CFAF7DD" w14:textId="69C5FB38"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47" w:name="_Toc164695086"/>
      <w:r>
        <w:rPr>
          <w:rFonts w:ascii="黑体" w:eastAsia="黑体" w:hAnsi="黑体" w:cs="Times New Roman" w:hint="eastAsia"/>
          <w:b/>
          <w:bCs/>
          <w:sz w:val="32"/>
          <w:szCs w:val="32"/>
          <w14:ligatures w14:val="none"/>
        </w:rPr>
        <w:t>第</w:t>
      </w:r>
      <w:r w:rsidR="0066194A">
        <w:rPr>
          <w:rFonts w:ascii="黑体" w:eastAsia="黑体" w:hAnsi="黑体" w:cs="Times New Roman" w:hint="eastAsia"/>
          <w:b/>
          <w:bCs/>
          <w:sz w:val="32"/>
          <w:szCs w:val="32"/>
          <w14:ligatures w14:val="none"/>
        </w:rPr>
        <w:t>二</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全面推动乡村振兴发展</w:t>
      </w:r>
      <w:bookmarkEnd w:id="47"/>
    </w:p>
    <w:p w14:paraId="4303D597" w14:textId="77777777"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bookmarkStart w:id="48" w:name="_Toc122522349"/>
      <w:r>
        <w:rPr>
          <w:rFonts w:ascii="楷体" w:eastAsia="楷体" w:hAnsi="楷体" w:cs="Times New Roman" w:hint="eastAsia"/>
          <w:sz w:val="32"/>
          <w14:ligatures w14:val="none"/>
        </w:rPr>
        <w:t>支持发展休闲农业和乡村旅游。</w:t>
      </w:r>
      <w:r>
        <w:rPr>
          <w:rFonts w:ascii="仿宋_GB2312" w:eastAsia="仿宋_GB2312" w:hAnsi="仿宋_GB2312" w:cs="Times New Roman" w:hint="eastAsia"/>
          <w:sz w:val="32"/>
          <w:szCs w:val="32"/>
          <w14:ligatures w14:val="none"/>
        </w:rPr>
        <w:t>坚持“旅游+”、“+旅游”融合发展，实施休闲农业和乡村旅游精品工程，支撑建设一批高水准和有竞争力的旅游精品景区、特色旅游产品、旅游精品线路、旅游新兴业态和领军企业，带动全县旅游业提质增效。以文旅融合发展为主线，充分利用红色文化、民俗文化、非遗文化等资源，整合升金湖、大历山、南溪古寨等旅游资源，打响东至旅游品牌，构筑旅游核心吸引力和竞争力，提升旅游附加值，支持</w:t>
      </w:r>
      <w:r>
        <w:rPr>
          <w:rFonts w:ascii="仿宋_GB2312" w:eastAsia="仿宋_GB2312" w:hAnsi="仿宋_GB2312" w:cs="Times New Roman" w:hint="eastAsia"/>
          <w:sz w:val="32"/>
          <w:szCs w:val="32"/>
          <w14:ligatures w14:val="none"/>
        </w:rPr>
        <w:lastRenderedPageBreak/>
        <w:t>建设“尧舜天路</w:t>
      </w:r>
      <w:r>
        <w:rPr>
          <w:rFonts w:ascii="仿宋_GB2312" w:eastAsia="仿宋_GB2312" w:hAnsi="Calibri" w:cs="Times New Roman" w:hint="eastAsia"/>
          <w:bCs/>
          <w:sz w:val="32"/>
          <w:szCs w:val="32"/>
          <w14:ligatures w14:val="none"/>
        </w:rPr>
        <w:t>—</w:t>
      </w:r>
      <w:r>
        <w:rPr>
          <w:rFonts w:ascii="仿宋_GB2312" w:eastAsia="仿宋_GB2312" w:hAnsi="仿宋_GB2312" w:cs="Times New Roman" w:hint="eastAsia"/>
          <w:sz w:val="32"/>
          <w:szCs w:val="32"/>
          <w14:ligatures w14:val="none"/>
        </w:rPr>
        <w:t>皖西南一号风景线”等乡村旅游精品线路。促进旅游发展与文化产业、乡村资源深度融合，与大健康产业有效衔接，与美丽乡村相互促进，创新乡村旅游新业态。</w:t>
      </w:r>
    </w:p>
    <w:p w14:paraId="0525E8E3" w14:textId="77777777"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支撑完善社会化服务体系。</w:t>
      </w:r>
      <w:r>
        <w:rPr>
          <w:rFonts w:ascii="仿宋_GB2312" w:eastAsia="仿宋_GB2312" w:hAnsi="仿宋_GB2312" w:cs="Times New Roman" w:hint="eastAsia"/>
          <w:sz w:val="32"/>
          <w:szCs w:val="32"/>
          <w14:ligatures w14:val="none"/>
        </w:rPr>
        <w:t>推广“电商+龙头企业+专业合作社+农户”模式，打通农产品直供直销链。支持加快农产品产地批发市场和冷链物流设施建设，优先保障农产品烘干储藏、冷藏冷链、物流配送项目用地。实施电子商务进农村综合示范行动，积极培育农村电商示范镇、示范村。支持建设一批知名电商平台地方馆，实现农村电子商务公共服务、物流配套、乡村网点“三个全覆盖”。</w:t>
      </w:r>
    </w:p>
    <w:p w14:paraId="1A63F694" w14:textId="1A9172C2"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49" w:name="_Toc164695087"/>
      <w:r>
        <w:rPr>
          <w:rFonts w:ascii="黑体" w:eastAsia="黑体" w:hAnsi="黑体" w:cs="Times New Roman" w:hint="eastAsia"/>
          <w:b/>
          <w:bCs/>
          <w:sz w:val="32"/>
          <w:szCs w:val="32"/>
          <w14:ligatures w14:val="none"/>
        </w:rPr>
        <w:t>第</w:t>
      </w:r>
      <w:r w:rsidR="0066194A">
        <w:rPr>
          <w:rFonts w:ascii="黑体" w:eastAsia="黑体" w:hAnsi="黑体" w:cs="Times New Roman" w:hint="eastAsia"/>
          <w:b/>
          <w:bCs/>
          <w:sz w:val="32"/>
          <w:szCs w:val="32"/>
          <w14:ligatures w14:val="none"/>
        </w:rPr>
        <w:t>三</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优化乡村空间布局</w:t>
      </w:r>
      <w:bookmarkEnd w:id="48"/>
      <w:bookmarkEnd w:id="49"/>
    </w:p>
    <w:p w14:paraId="07F74264" w14:textId="246FBCDA"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bookmarkStart w:id="50" w:name="_Toc122522350"/>
      <w:r>
        <w:rPr>
          <w:rFonts w:ascii="楷体" w:eastAsia="楷体" w:hAnsi="楷体" w:cs="Times New Roman" w:hint="eastAsia"/>
          <w:sz w:val="32"/>
          <w14:ligatures w14:val="none"/>
        </w:rPr>
        <w:t>分类施策引导村庄差异化发展。</w:t>
      </w:r>
      <w:r>
        <w:rPr>
          <w:rFonts w:ascii="Calibri" w:eastAsia="仿宋_GB2312" w:hAnsi="Calibri" w:cs="Times New Roman"/>
          <w:bCs/>
          <w:sz w:val="32"/>
          <w14:ligatures w14:val="none"/>
        </w:rPr>
        <w:t>顺应村庄发展规律和演变趋势，将城镇开发边界以外的行政村规划分为城郊融合类、集聚提升类、特色保护类、搬迁撤并类、其他类五种类型，分类</w:t>
      </w:r>
      <w:r>
        <w:rPr>
          <w:rFonts w:ascii="Calibri" w:eastAsia="仿宋_GB2312" w:hAnsi="Calibri" w:cs="Times New Roman" w:hint="eastAsia"/>
          <w:bCs/>
          <w:sz w:val="32"/>
          <w14:ligatures w14:val="none"/>
        </w:rPr>
        <w:t>施策</w:t>
      </w:r>
      <w:r>
        <w:rPr>
          <w:rFonts w:ascii="Calibri" w:eastAsia="仿宋_GB2312" w:hAnsi="Calibri" w:cs="Times New Roman"/>
          <w:bCs/>
          <w:sz w:val="32"/>
          <w14:ligatures w14:val="none"/>
        </w:rPr>
        <w:t>推进乡村发展。</w:t>
      </w:r>
    </w:p>
    <w:p w14:paraId="53C0E754" w14:textId="77777777" w:rsidR="008635CD" w:rsidRDefault="00000000" w:rsidP="008635CD">
      <w:pPr>
        <w:spacing w:line="600" w:lineRule="exact"/>
        <w:ind w:firstLineChars="200" w:firstLine="640"/>
        <w:rPr>
          <w:rFonts w:ascii="仿宋_GB2312" w:eastAsia="仿宋_GB2312" w:hAnsi="仿宋_GB2312" w:cs="Times New Roman"/>
          <w:sz w:val="32"/>
          <w:szCs w:val="32"/>
          <w14:ligatures w14:val="none"/>
        </w:rPr>
      </w:pPr>
      <w:r>
        <w:rPr>
          <w:rFonts w:ascii="楷体" w:eastAsia="楷体" w:hAnsi="楷体" w:cs="Times New Roman" w:hint="eastAsia"/>
          <w:sz w:val="32"/>
          <w14:ligatures w14:val="none"/>
        </w:rPr>
        <w:t>自然村分类。</w:t>
      </w:r>
      <w:r>
        <w:rPr>
          <w:rFonts w:ascii="仿宋_GB2312" w:eastAsia="仿宋_GB2312" w:hAnsi="仿宋_GB2312" w:cs="Times New Roman" w:hint="eastAsia"/>
          <w:sz w:val="32"/>
          <w:szCs w:val="32"/>
          <w14:ligatures w14:val="none"/>
        </w:rPr>
        <w:t>将自然村分为提升型、稳定型、收缩型和撤并型四种类型。有序引导农村人口和产业项目提升型居民点集聚，科学优化稳定型居民点用地空间，适度减少收缩型、撤并型居民点建设用地。</w:t>
      </w:r>
    </w:p>
    <w:p w14:paraId="25E2E447" w14:textId="2A77688B" w:rsidR="0062582F" w:rsidRDefault="00000000" w:rsidP="008635CD">
      <w:pPr>
        <w:spacing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优化村庄布局。</w:t>
      </w:r>
      <w:r>
        <w:rPr>
          <w:rFonts w:ascii="仿宋_GB2312" w:eastAsia="仿宋_GB2312" w:hAnsi="Calibri" w:cs="Times New Roman" w:hint="eastAsia"/>
          <w:bCs/>
          <w:sz w:val="32"/>
          <w:szCs w:val="32"/>
          <w14:ligatures w14:val="none"/>
        </w:rPr>
        <w:t>完善村庄居民点布局体系，积极培育中心村，有序引导农村人口和产业向中心村和城镇集聚，推动农村</w:t>
      </w:r>
      <w:r>
        <w:rPr>
          <w:rFonts w:ascii="仿宋_GB2312" w:eastAsia="仿宋_GB2312" w:hAnsi="Calibri" w:cs="Times New Roman" w:hint="eastAsia"/>
          <w:bCs/>
          <w:sz w:val="32"/>
          <w:szCs w:val="32"/>
          <w14:ligatures w14:val="none"/>
        </w:rPr>
        <w:lastRenderedPageBreak/>
        <w:t>建设用地减量化。</w:t>
      </w:r>
    </w:p>
    <w:p w14:paraId="0C5C46FF" w14:textId="41F26CF8" w:rsidR="0062582F" w:rsidRDefault="00000000">
      <w:pPr>
        <w:spacing w:beforeLines="50" w:before="156" w:afterLines="50" w:after="156"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统筹乡村一二三产业融合空间。</w:t>
      </w:r>
      <w:r>
        <w:rPr>
          <w:rFonts w:ascii="仿宋_GB2312" w:eastAsia="仿宋_GB2312" w:hAnsi="Calibri" w:cs="Times New Roman" w:hint="eastAsia"/>
          <w:bCs/>
          <w:sz w:val="32"/>
          <w:szCs w:val="32"/>
          <w14:ligatures w14:val="none"/>
        </w:rPr>
        <w:t>依托新型城镇化推进乡村一二三产业融合，引导农村二三产业向重点乡镇及产业园区集中。支持东至县建设乡村一二三产业融合发展先导区创建，积极探索农村产业融合发展典型经验。</w:t>
      </w:r>
    </w:p>
    <w:p w14:paraId="4B1C57E3" w14:textId="0C4B4315" w:rsidR="0062582F" w:rsidRDefault="00000000">
      <w:pPr>
        <w:spacing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合理保障乡村振兴用地需求。</w:t>
      </w:r>
      <w:r>
        <w:rPr>
          <w:rFonts w:ascii="仿宋_GB2312" w:eastAsia="仿宋_GB2312" w:hAnsi="Calibri" w:cs="Times New Roman" w:hint="eastAsia"/>
          <w:bCs/>
          <w:sz w:val="32"/>
          <w:szCs w:val="32"/>
          <w14:ligatures w14:val="none"/>
        </w:rPr>
        <w:t>完善农村土地利用管理政策体系，创新土地配置方式，盘活存量，用好流量，辅以增量，优先安排农村基础设施和公共服务用地，全方位支持乡村旅游发展用地。</w:t>
      </w:r>
    </w:p>
    <w:p w14:paraId="19648299" w14:textId="63A7F351"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51" w:name="_Toc164695088"/>
      <w:bookmarkEnd w:id="50"/>
      <w:r>
        <w:rPr>
          <w:rFonts w:ascii="黑体" w:eastAsia="黑体" w:hAnsi="黑体" w:cs="Times New Roman" w:hint="eastAsia"/>
          <w:b/>
          <w:bCs/>
          <w:sz w:val="32"/>
          <w:szCs w:val="32"/>
          <w14:ligatures w14:val="none"/>
        </w:rPr>
        <w:t>第</w:t>
      </w:r>
      <w:r w:rsidR="0066194A">
        <w:rPr>
          <w:rFonts w:ascii="黑体" w:eastAsia="黑体" w:hAnsi="黑体" w:cs="Times New Roman" w:hint="eastAsia"/>
          <w:b/>
          <w:bCs/>
          <w:sz w:val="32"/>
          <w:szCs w:val="32"/>
          <w14:ligatures w14:val="none"/>
        </w:rPr>
        <w:t>四</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加强国土综合整治</w:t>
      </w:r>
      <w:bookmarkEnd w:id="51"/>
    </w:p>
    <w:p w14:paraId="3FF2E6F9" w14:textId="77777777" w:rsidR="0062582F" w:rsidRDefault="00000000">
      <w:pPr>
        <w:spacing w:beforeLines="50" w:before="156" w:afterLines="50" w:after="156"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推进农用地整理。</w:t>
      </w:r>
      <w:r>
        <w:rPr>
          <w:rFonts w:ascii="仿宋_GB2312" w:eastAsia="仿宋_GB2312" w:hAnsi="Calibri" w:cs="Times New Roman" w:hint="eastAsia"/>
          <w:bCs/>
          <w:sz w:val="32"/>
          <w:szCs w:val="32"/>
          <w14:ligatures w14:val="none"/>
        </w:rPr>
        <w:t>以稳定粮食生产为基础，以旱涝保收高标准农田建设为重点，实施农用地整理重点项目，加大中低产田改造力度，改良土壤结构，加强农田环境综合治理，增加农业基础设施建设投入，优化农田灌溉、排水、道路、林网等田间工程体系，全面提高农田抗涝、抗旱等自然灾害能力，加快粮食产业高质量发展，提升粮食综合生产能力，夯实粮食安全基础，实现可持续发展。</w:t>
      </w:r>
    </w:p>
    <w:p w14:paraId="6493AB8E" w14:textId="00FB91F0" w:rsidR="0062582F" w:rsidRDefault="00000000">
      <w:pPr>
        <w:spacing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因地制宜、分区（类）引导。</w:t>
      </w:r>
      <w:r>
        <w:rPr>
          <w:rFonts w:ascii="仿宋_GB2312" w:eastAsia="仿宋_GB2312" w:hAnsi="Calibri" w:cs="Times New Roman" w:hint="eastAsia"/>
          <w:bCs/>
          <w:sz w:val="32"/>
          <w:szCs w:val="32"/>
          <w14:ligatures w14:val="none"/>
        </w:rPr>
        <w:t>因地制宜、分区分类引导农村土地全域整治，结合农村土地综合整治试点经验，总结不同类型的农村土地全域整治与生态修复模式。</w:t>
      </w:r>
    </w:p>
    <w:p w14:paraId="10296345" w14:textId="4E1A5BC9" w:rsidR="0062582F" w:rsidRDefault="00000000">
      <w:pPr>
        <w:spacing w:line="600" w:lineRule="exact"/>
        <w:ind w:firstLineChars="200" w:firstLine="640"/>
        <w:rPr>
          <w:rFonts w:ascii="Calibri" w:eastAsia="仿宋_GB2312" w:hAnsi="Calibri" w:cs="Times New Roman"/>
          <w:sz w:val="32"/>
          <w:szCs w:val="21"/>
          <w14:ligatures w14:val="none"/>
        </w:rPr>
      </w:pPr>
      <w:r>
        <w:rPr>
          <w:rFonts w:ascii="楷体" w:eastAsia="楷体" w:hAnsi="楷体" w:cs="Times New Roman" w:hint="eastAsia"/>
          <w:sz w:val="32"/>
          <w14:ligatures w14:val="none"/>
        </w:rPr>
        <w:lastRenderedPageBreak/>
        <w:t>盘活村庄建设用地。</w:t>
      </w:r>
      <w:r>
        <w:rPr>
          <w:rFonts w:ascii="Calibri" w:eastAsia="仿宋_GB2312" w:hAnsi="Calibri" w:cs="Times New Roman" w:hint="eastAsia"/>
          <w:sz w:val="32"/>
          <w:szCs w:val="21"/>
          <w14:ligatures w14:val="none"/>
        </w:rPr>
        <w:t>以乡镇或村庄为基本单元开展城乡建设用地增减挂钩，统筹推进农村旧住宅、废弃宅基地、零散村庄、空心村、低效经营性用地的拆旧复垦，合理安排腾退低效用地向耕地、林地、产业、公共服务设施、基础设施等用地转化。</w:t>
      </w:r>
    </w:p>
    <w:p w14:paraId="1ED20B23" w14:textId="0632AECE" w:rsidR="0062582F" w:rsidRDefault="00000000">
      <w:pPr>
        <w:spacing w:beforeLines="50" w:before="156" w:afterLines="50" w:after="156"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加强耕地复垦力度。</w:t>
      </w:r>
      <w:r>
        <w:rPr>
          <w:rFonts w:ascii="仿宋_GB2312" w:eastAsia="仿宋_GB2312" w:hAnsi="Calibri" w:cs="Times New Roman" w:hint="eastAsia"/>
          <w:bCs/>
          <w:sz w:val="32"/>
          <w:szCs w:val="32"/>
          <w14:ligatures w14:val="none"/>
        </w:rPr>
        <w:t>复垦利用土地主要为工矿废弃地、生产建设活动损毁土地及自然灾害损毁土地。加强农田保护区内新损毁土地的复垦，提高生产建设用地节约集约利用水平。</w:t>
      </w:r>
    </w:p>
    <w:p w14:paraId="7B01F29C" w14:textId="643FFF51" w:rsidR="0062582F" w:rsidRDefault="00000000">
      <w:pPr>
        <w:spacing w:beforeLines="50" w:before="156" w:afterLines="50" w:after="156" w:line="600" w:lineRule="exact"/>
        <w:ind w:firstLineChars="200" w:firstLine="640"/>
        <w:rPr>
          <w:rFonts w:ascii="仿宋_GB2312" w:eastAsia="仿宋_GB2312" w:hAnsi="Calibri" w:cs="Times New Roman"/>
          <w:bCs/>
          <w:sz w:val="32"/>
          <w:szCs w:val="32"/>
          <w14:ligatures w14:val="none"/>
        </w:rPr>
      </w:pPr>
      <w:r>
        <w:rPr>
          <w:rFonts w:ascii="楷体" w:eastAsia="楷体" w:hAnsi="楷体" w:cs="Times New Roman" w:hint="eastAsia"/>
          <w:sz w:val="32"/>
          <w14:ligatures w14:val="none"/>
        </w:rPr>
        <w:t>适度开发宜耕后备土地资源。</w:t>
      </w:r>
      <w:r>
        <w:rPr>
          <w:rFonts w:ascii="仿宋_GB2312" w:eastAsia="仿宋_GB2312" w:hAnsi="Calibri" w:cs="Times New Roman" w:hint="eastAsia"/>
          <w:bCs/>
          <w:sz w:val="32"/>
          <w:szCs w:val="32"/>
          <w14:ligatures w14:val="none"/>
        </w:rPr>
        <w:t>结合耕地后备资源评价成果，在保护和改善生态环境的前提下，依据土地利用条件，有计划、有步骤地推进宜耕后备土地资源开发利用。</w:t>
      </w:r>
    </w:p>
    <w:p w14:paraId="7134F557" w14:textId="77777777" w:rsidR="0062582F" w:rsidRDefault="00000000">
      <w:pPr>
        <w:spacing w:beforeLines="50" w:before="156" w:afterLines="50" w:after="156" w:line="360" w:lineRule="auto"/>
        <w:ind w:firstLineChars="200" w:firstLine="883"/>
        <w:rPr>
          <w:rFonts w:ascii="Times New Roman" w:eastAsia="黑体" w:hAnsi="Times New Roman" w:cs="Times New Roman"/>
          <w:b/>
          <w:bCs/>
          <w:kern w:val="44"/>
          <w:sz w:val="44"/>
          <w:szCs w:val="44"/>
          <w14:ligatures w14:val="none"/>
        </w:rPr>
      </w:pPr>
      <w:r>
        <w:rPr>
          <w:rFonts w:ascii="Times New Roman" w:eastAsia="仿宋_GB2312" w:hAnsi="Times New Roman" w:cs="Times New Roman"/>
          <w:b/>
          <w:bCs/>
          <w:kern w:val="44"/>
          <w:sz w:val="44"/>
          <w:szCs w:val="44"/>
          <w14:ligatures w14:val="none"/>
        </w:rPr>
        <w:br w:type="page"/>
      </w:r>
    </w:p>
    <w:p w14:paraId="17B50D48"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52" w:name="_Toc164695089"/>
      <w:r>
        <w:rPr>
          <w:rFonts w:ascii="方正小标宋简体" w:eastAsia="方正小标宋简体" w:hAnsi="Times New Roman" w:cs="Times New Roman" w:hint="eastAsia"/>
          <w:b/>
          <w:bCs/>
          <w:kern w:val="44"/>
          <w:sz w:val="44"/>
          <w:szCs w:val="44"/>
          <w14:ligatures w14:val="none"/>
        </w:rPr>
        <w:lastRenderedPageBreak/>
        <w:t>第五章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保护青山绿水，筑牢生态安全屏障</w:t>
      </w:r>
      <w:bookmarkEnd w:id="52"/>
    </w:p>
    <w:p w14:paraId="17CB549B" w14:textId="77777777"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Times New Roman" w:eastAsia="仿宋_GB2312" w:hAnsi="Times New Roman" w:cs="Times New Roman" w:hint="eastAsia"/>
          <w:sz w:val="32"/>
          <w14:ligatures w14:val="none"/>
        </w:rPr>
        <w:t>以“山水林田湖草沙生命共同体”重要理念为指导，以自然保护地为核心，突出长江等水系网络、南部山区生态屏障及生态廊道在维护区域生态安全中的重要作用，着力提升生态系统多样性、稳定性、持续性，支撑建设国家生态文明示范县。</w:t>
      </w:r>
    </w:p>
    <w:p w14:paraId="6E7982CA"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53" w:name="_Toc122522352"/>
      <w:bookmarkStart w:id="54" w:name="_Toc164695090"/>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构建生态空间格局</w:t>
      </w:r>
      <w:bookmarkEnd w:id="53"/>
      <w:bookmarkEnd w:id="54"/>
    </w:p>
    <w:p w14:paraId="469B8056" w14:textId="77777777"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Times New Roman" w:eastAsia="仿宋_GB2312" w:hAnsi="Times New Roman" w:cs="Times New Roman" w:hint="eastAsia"/>
          <w:sz w:val="32"/>
          <w14:ligatures w14:val="none"/>
        </w:rPr>
        <w:t>构建</w:t>
      </w:r>
      <w:r>
        <w:rPr>
          <w:rFonts w:ascii="楷体" w:eastAsia="楷体" w:hAnsi="楷体" w:cs="Times New Roman" w:hint="eastAsia"/>
          <w:sz w:val="32"/>
          <w14:ligatures w14:val="none"/>
        </w:rPr>
        <w:t>“一带一屏，三廊多点”</w:t>
      </w:r>
      <w:r>
        <w:rPr>
          <w:rFonts w:ascii="Times New Roman" w:eastAsia="仿宋_GB2312" w:hAnsi="Times New Roman" w:cs="Times New Roman" w:hint="eastAsia"/>
          <w:sz w:val="32"/>
          <w14:ligatures w14:val="none"/>
        </w:rPr>
        <w:t>的生态空间格局。</w:t>
      </w:r>
      <w:r>
        <w:rPr>
          <w:rFonts w:ascii="Calibri" w:eastAsia="仿宋_GB2312" w:hAnsi="Calibri" w:cs="Times New Roman"/>
          <w:sz w:val="32"/>
          <w14:ligatures w14:val="none"/>
        </w:rPr>
        <w:t>落实</w:t>
      </w:r>
      <w:r>
        <w:rPr>
          <w:rFonts w:ascii="Calibri" w:eastAsia="仿宋_GB2312" w:hAnsi="Calibri" w:cs="Times New Roman" w:hint="eastAsia"/>
          <w:sz w:val="32"/>
          <w14:ligatures w14:val="none"/>
        </w:rPr>
        <w:t>池州市“一江一屏七廊多点”生态空间格局。</w:t>
      </w:r>
      <w:r>
        <w:rPr>
          <w:rFonts w:ascii="Times New Roman" w:eastAsia="仿宋_GB2312" w:hAnsi="Times New Roman" w:cs="Times New Roman" w:hint="eastAsia"/>
          <w:sz w:val="32"/>
          <w14:ligatures w14:val="none"/>
        </w:rPr>
        <w:t>突出东至县河湖点缀、蓝绿交织的生态空间特质，</w:t>
      </w:r>
      <w:bookmarkStart w:id="55" w:name="_Hlk165908947"/>
      <w:r>
        <w:rPr>
          <w:rFonts w:ascii="Times New Roman" w:eastAsia="仿宋_GB2312" w:hAnsi="Times New Roman" w:cs="Times New Roman" w:hint="eastAsia"/>
          <w:sz w:val="32"/>
          <w14:ligatures w14:val="none"/>
        </w:rPr>
        <w:t>加强长江、尧渡河、黄湓河、龙泉河等流域生态系统统筹保护，</w:t>
      </w:r>
      <w:r>
        <w:rPr>
          <w:rFonts w:ascii="Calibri" w:eastAsia="仿宋_GB2312" w:hAnsi="Calibri" w:cs="Times New Roman"/>
          <w:sz w:val="32"/>
          <w14:ligatures w14:val="none"/>
        </w:rPr>
        <w:t>加强毗邻地区生态共保，加快推进沿江绿色生态廊道及长三角重要生态安全屏障建设</w:t>
      </w:r>
      <w:bookmarkEnd w:id="55"/>
      <w:r>
        <w:rPr>
          <w:rFonts w:ascii="Calibri" w:eastAsia="仿宋_GB2312" w:hAnsi="Calibri" w:cs="Times New Roman" w:hint="eastAsia"/>
          <w:sz w:val="32"/>
          <w14:ligatures w14:val="none"/>
        </w:rPr>
        <w:t>。</w:t>
      </w:r>
    </w:p>
    <w:p w14:paraId="493B77E3"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56" w:name="_Toc122522353"/>
      <w:bookmarkStart w:id="57" w:name="_Toc164695091"/>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建立自然保护地体系</w:t>
      </w:r>
      <w:bookmarkEnd w:id="56"/>
      <w:bookmarkEnd w:id="57"/>
    </w:p>
    <w:p w14:paraId="0973224D" w14:textId="2CD91830" w:rsidR="0062582F" w:rsidRDefault="00000000">
      <w:pPr>
        <w:spacing w:line="600" w:lineRule="exact"/>
        <w:ind w:firstLine="640"/>
        <w:rPr>
          <w:rFonts w:ascii="Calibri" w:eastAsia="仿宋_GB2312" w:hAnsi="Calibri" w:cs="Times New Roman"/>
          <w:sz w:val="32"/>
          <w14:ligatures w14:val="none"/>
        </w:rPr>
      </w:pPr>
      <w:bookmarkStart w:id="58" w:name="_Hlk134540258"/>
      <w:bookmarkStart w:id="59" w:name="_Toc128219158"/>
      <w:bookmarkStart w:id="60" w:name="_Toc15758"/>
      <w:bookmarkStart w:id="61" w:name="_Toc26690"/>
      <w:bookmarkStart w:id="62" w:name="_Toc3710"/>
      <w:bookmarkStart w:id="63" w:name="_Toc122522354"/>
      <w:r>
        <w:rPr>
          <w:rFonts w:ascii="Calibri" w:eastAsia="楷体" w:hAnsi="Calibri" w:cs="Times New Roman"/>
          <w:sz w:val="32"/>
          <w14:ligatures w14:val="none"/>
        </w:rPr>
        <w:t>优化自然保护地体系。</w:t>
      </w:r>
      <w:r>
        <w:rPr>
          <w:rFonts w:ascii="Calibri" w:eastAsia="仿宋_GB2312" w:hAnsi="Calibri" w:cs="Times New Roman"/>
          <w:sz w:val="32"/>
          <w14:ligatures w14:val="none"/>
        </w:rPr>
        <w:t>构建自然保护区、自然公园</w:t>
      </w:r>
      <w:r>
        <w:rPr>
          <w:rFonts w:ascii="Calibri" w:eastAsia="仿宋_GB2312" w:hAnsi="Calibri" w:cs="Times New Roman" w:hint="eastAsia"/>
          <w:sz w:val="32"/>
          <w14:ligatures w14:val="none"/>
        </w:rPr>
        <w:t>两</w:t>
      </w:r>
      <w:r>
        <w:rPr>
          <w:rFonts w:ascii="Calibri" w:eastAsia="仿宋_GB2312" w:hAnsi="Calibri" w:cs="Times New Roman"/>
          <w:sz w:val="32"/>
          <w14:ligatures w14:val="none"/>
        </w:rPr>
        <w:t>级自然保护地体系，整合优化后自然保护地</w:t>
      </w:r>
      <w:r w:rsidR="008635CD">
        <w:rPr>
          <w:rFonts w:ascii="Calibri" w:eastAsia="仿宋_GB2312" w:hAnsi="Calibri" w:cs="Times New Roman" w:hint="eastAsia"/>
          <w:sz w:val="32"/>
          <w14:ligatures w14:val="none"/>
        </w:rPr>
        <w:t>具体名录以国家批复的自然保护地名录为准。</w:t>
      </w:r>
    </w:p>
    <w:bookmarkEnd w:id="58"/>
    <w:bookmarkEnd w:id="59"/>
    <w:bookmarkEnd w:id="60"/>
    <w:bookmarkEnd w:id="61"/>
    <w:bookmarkEnd w:id="62"/>
    <w:p w14:paraId="20F7877E" w14:textId="5035EC13" w:rsidR="0062582F" w:rsidRDefault="00000000">
      <w:pPr>
        <w:spacing w:line="600" w:lineRule="exact"/>
        <w:ind w:firstLine="640"/>
        <w:rPr>
          <w:rFonts w:ascii="Calibri" w:eastAsia="仿宋_GB2312" w:hAnsi="Calibri" w:cs="Times New Roman"/>
          <w:sz w:val="32"/>
          <w14:ligatures w14:val="none"/>
        </w:rPr>
      </w:pPr>
      <w:r>
        <w:rPr>
          <w:rFonts w:ascii="Calibri" w:eastAsia="楷体" w:hAnsi="Calibri" w:cs="Times New Roman"/>
          <w:sz w:val="32"/>
          <w14:ligatures w14:val="none"/>
        </w:rPr>
        <w:t>分级分类保护湿地资源。</w:t>
      </w:r>
      <w:r>
        <w:rPr>
          <w:rFonts w:ascii="Calibri" w:eastAsia="仿宋_GB2312" w:hAnsi="Calibri" w:cs="Times New Roman"/>
          <w:sz w:val="32"/>
          <w14:ligatures w14:val="none"/>
        </w:rPr>
        <w:t>以自然保护区、水源保护区</w:t>
      </w:r>
      <w:r>
        <w:rPr>
          <w:rFonts w:ascii="Calibri" w:eastAsia="仿宋_GB2312" w:hAnsi="Calibri" w:cs="Times New Roman" w:hint="eastAsia"/>
          <w:sz w:val="32"/>
          <w14:ligatures w14:val="none"/>
        </w:rPr>
        <w:t>、重要湿地</w:t>
      </w:r>
      <w:r>
        <w:rPr>
          <w:rFonts w:ascii="Calibri" w:eastAsia="仿宋_GB2312" w:hAnsi="Calibri" w:cs="Times New Roman"/>
          <w:sz w:val="32"/>
          <w14:ligatures w14:val="none"/>
        </w:rPr>
        <w:t>为基本格局构建湿地保护体系。</w:t>
      </w:r>
      <w:r w:rsidRPr="008635CD">
        <w:rPr>
          <w:rFonts w:ascii="Calibri" w:eastAsia="仿宋_GB2312" w:hAnsi="Calibri" w:cs="Times New Roman" w:hint="eastAsia"/>
          <w:sz w:val="32"/>
          <w14:ligatures w14:val="none"/>
        </w:rPr>
        <w:t>落实湿地面积总量管控，强化生态保育，开展退垸还湖（河）、退耕还湖（湿）和植被恢复，加强生态湖滨带和水源涵养林等生态隔离带的建设与保护。</w:t>
      </w:r>
    </w:p>
    <w:p w14:paraId="5315A3FF" w14:textId="25AF7499"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Calibri" w:eastAsia="楷体" w:hAnsi="Calibri" w:cs="Times New Roman" w:hint="eastAsia"/>
          <w:sz w:val="32"/>
          <w14:ligatures w14:val="none"/>
        </w:rPr>
        <w:lastRenderedPageBreak/>
        <w:t>提高生物多样性水平。</w:t>
      </w:r>
      <w:r>
        <w:rPr>
          <w:rFonts w:ascii="Times New Roman" w:eastAsia="仿宋_GB2312" w:hAnsi="Times New Roman" w:cs="Times New Roman" w:hint="eastAsia"/>
          <w:sz w:val="32"/>
          <w14:ligatures w14:val="none"/>
        </w:rPr>
        <w:t>加强长江流域、尧渡河流域、黄湓河流域等重点河流与沿线湖泊水体的联系，提升水土保持、水源涵养、洪水调蓄等生态功能。加强野生动物监测站点网络建设，构建野生动物收容救护体系，并开展标准化建设。</w:t>
      </w:r>
    </w:p>
    <w:p w14:paraId="00414276" w14:textId="77777777" w:rsidR="0062582F" w:rsidRDefault="00000000">
      <w:pPr>
        <w:keepNext/>
        <w:keepLines/>
        <w:spacing w:before="260" w:after="260" w:line="415" w:lineRule="auto"/>
        <w:jc w:val="center"/>
        <w:outlineLvl w:val="1"/>
        <w:rPr>
          <w:rFonts w:ascii="黑体" w:eastAsia="黑体" w:hAnsi="黑体" w:cs="Times New Roman" w:hint="eastAsia"/>
          <w:b/>
          <w:bCs/>
          <w:sz w:val="32"/>
          <w:szCs w:val="32"/>
          <w14:ligatures w14:val="none"/>
        </w:rPr>
      </w:pPr>
      <w:bookmarkStart w:id="64" w:name="_Toc4744"/>
      <w:bookmarkStart w:id="65" w:name="_Toc22819"/>
      <w:bookmarkStart w:id="66" w:name="_Toc17511"/>
      <w:bookmarkStart w:id="67" w:name="_Toc27857"/>
      <w:bookmarkStart w:id="68" w:name="_Toc23905"/>
      <w:bookmarkStart w:id="69" w:name="_Toc28752"/>
      <w:bookmarkStart w:id="70" w:name="_Toc4042"/>
      <w:bookmarkStart w:id="71" w:name="_Toc10626"/>
      <w:bookmarkStart w:id="72" w:name="_Toc30191"/>
      <w:bookmarkStart w:id="73" w:name="_Toc27948"/>
      <w:bookmarkStart w:id="74" w:name="_Toc14470"/>
      <w:bookmarkStart w:id="75" w:name="_Toc15093"/>
      <w:bookmarkStart w:id="76" w:name="_Toc20219"/>
      <w:bookmarkStart w:id="77" w:name="_Toc2425"/>
      <w:bookmarkStart w:id="78" w:name="_Toc3832"/>
      <w:bookmarkStart w:id="79" w:name="_Toc164695092"/>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优化国土绿化空间</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629F4DA8" w14:textId="5718D2C5" w:rsidR="0062582F" w:rsidRDefault="00000000">
      <w:pPr>
        <w:ind w:firstLineChars="200" w:firstLine="640"/>
        <w:rPr>
          <w:rFonts w:ascii="Times New Roman" w:eastAsia="仿宋_GB2312" w:hAnsi="Times New Roman" w:cs="Times New Roman"/>
          <w:sz w:val="32"/>
          <w14:ligatures w14:val="none"/>
        </w:rPr>
      </w:pPr>
      <w:r>
        <w:rPr>
          <w:rFonts w:ascii="Calibri" w:eastAsia="楷体" w:hAnsi="Calibri" w:cs="Times New Roman"/>
          <w:sz w:val="32"/>
          <w14:ligatures w14:val="none"/>
        </w:rPr>
        <w:t>加强林地资源分类管控。</w:t>
      </w:r>
      <w:r>
        <w:rPr>
          <w:rFonts w:ascii="Times New Roman" w:eastAsia="仿宋_GB2312" w:hAnsi="Times New Roman" w:cs="Times New Roman" w:hint="eastAsia"/>
          <w:sz w:val="32"/>
          <w14:ligatures w14:val="none"/>
        </w:rPr>
        <w:t>划定生态公益林保护重点区域，全面落实生态公益林效益补偿机制和管护责任制。加强商品林林地用途管制，促进林地多功能作用发挥。突出林业碳汇的优先地位，提升生态系统碳汇增量，积极应对气候变化。</w:t>
      </w:r>
    </w:p>
    <w:p w14:paraId="147306FE" w14:textId="6E5AAA74" w:rsidR="0062582F" w:rsidRDefault="00000000">
      <w:pPr>
        <w:ind w:firstLineChars="200" w:firstLine="640"/>
        <w:rPr>
          <w:rFonts w:ascii="Times New Roman" w:eastAsia="仿宋_GB2312" w:hAnsi="Times New Roman" w:cs="Times New Roman"/>
          <w:sz w:val="32"/>
          <w14:ligatures w14:val="none"/>
        </w:rPr>
      </w:pPr>
      <w:r>
        <w:rPr>
          <w:rFonts w:ascii="Calibri" w:eastAsia="楷体" w:hAnsi="Calibri" w:cs="Times New Roman"/>
          <w:sz w:val="32"/>
          <w14:ligatures w14:val="none"/>
        </w:rPr>
        <w:t>提升全</w:t>
      </w:r>
      <w:r>
        <w:rPr>
          <w:rFonts w:ascii="Calibri" w:eastAsia="楷体" w:hAnsi="Calibri" w:cs="Times New Roman" w:hint="eastAsia"/>
          <w:sz w:val="32"/>
          <w14:ligatures w14:val="none"/>
        </w:rPr>
        <w:t>县</w:t>
      </w:r>
      <w:r>
        <w:rPr>
          <w:rFonts w:ascii="Calibri" w:eastAsia="楷体" w:hAnsi="Calibri" w:cs="Times New Roman"/>
          <w:sz w:val="32"/>
          <w14:ligatures w14:val="none"/>
        </w:rPr>
        <w:t>森林质量。</w:t>
      </w:r>
      <w:r>
        <w:rPr>
          <w:rFonts w:ascii="Times New Roman" w:eastAsia="仿宋_GB2312" w:hAnsi="Times New Roman" w:cs="Times New Roman" w:hint="eastAsia"/>
          <w:sz w:val="32"/>
          <w14:ligatures w14:val="none"/>
        </w:rPr>
        <w:t>加强裸露山体生态修复治理，切实加大退化林修复、低产低效林改造、森林抚育和生物多样性保护，推进国家储备林建设，提高森林生态固碳能力。</w:t>
      </w:r>
    </w:p>
    <w:p w14:paraId="1BE001C9" w14:textId="77777777" w:rsidR="0062582F" w:rsidRDefault="00000000">
      <w:pPr>
        <w:ind w:firstLineChars="200" w:firstLine="640"/>
        <w:rPr>
          <w:rFonts w:ascii="Times New Roman" w:eastAsia="仿宋_GB2312" w:hAnsi="Times New Roman" w:cs="Times New Roman"/>
          <w:sz w:val="32"/>
          <w14:ligatures w14:val="none"/>
        </w:rPr>
      </w:pPr>
      <w:r>
        <w:rPr>
          <w:rFonts w:ascii="Calibri" w:eastAsia="楷体" w:hAnsi="Calibri" w:cs="Times New Roman"/>
          <w:sz w:val="32"/>
          <w14:ligatures w14:val="none"/>
        </w:rPr>
        <w:t>系统保障造林绿化空间</w:t>
      </w:r>
      <w:r>
        <w:rPr>
          <w:rFonts w:ascii="Calibri" w:eastAsia="楷体" w:hAnsi="Calibri" w:cs="Times New Roman" w:hint="eastAsia"/>
          <w:sz w:val="32"/>
          <w14:ligatures w14:val="none"/>
        </w:rPr>
        <w:t>。</w:t>
      </w:r>
      <w:r>
        <w:rPr>
          <w:rFonts w:ascii="Times New Roman" w:eastAsia="仿宋_GB2312" w:hAnsi="Times New Roman" w:cs="Times New Roman" w:hint="eastAsia"/>
          <w:sz w:val="32"/>
          <w14:ligatures w14:val="none"/>
        </w:rPr>
        <w:t>按照“宜林则林、宜灌则灌”原则，有序安排造林绿化任务，带位置上报、带图斑下达，纳入国土空间规划“一张图”。</w:t>
      </w:r>
    </w:p>
    <w:p w14:paraId="7BB148BE"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0" w:name="_Toc122522355"/>
      <w:bookmarkStart w:id="81" w:name="_Toc164695093"/>
      <w:bookmarkEnd w:id="63"/>
      <w:r>
        <w:rPr>
          <w:rFonts w:ascii="黑体" w:eastAsia="黑体" w:hAnsi="黑体" w:cs="Times New Roman" w:hint="eastAsia"/>
          <w:b/>
          <w:bCs/>
          <w:sz w:val="32"/>
          <w:szCs w:val="32"/>
          <w14:ligatures w14:val="none"/>
        </w:rPr>
        <w:t>第四节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完善生态保护措施</w:t>
      </w:r>
      <w:bookmarkEnd w:id="80"/>
      <w:bookmarkEnd w:id="81"/>
    </w:p>
    <w:p w14:paraId="5B40A139" w14:textId="274A0AA5" w:rsidR="0062582F" w:rsidRDefault="00000000">
      <w:pPr>
        <w:widowControl/>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推进生态环境综合治理。</w:t>
      </w:r>
      <w:r>
        <w:rPr>
          <w:rFonts w:ascii="仿宋_GB2312" w:eastAsia="仿宋_GB2312" w:hAnsi="仿宋_GB2312" w:cs="Times New Roman" w:hint="eastAsia"/>
          <w:sz w:val="32"/>
          <w:szCs w:val="32"/>
          <w14:ligatures w14:val="none"/>
        </w:rPr>
        <w:t>统筹打好“蓝天碧水净土”保卫战，全力推进生态植绿、生态保护，加强环境质量监测，全面夯实创建工作基础，建立地上地下生态环境治理制度。</w:t>
      </w:r>
    </w:p>
    <w:p w14:paraId="5975FFD1" w14:textId="5E8721FF" w:rsidR="0062582F" w:rsidRDefault="00000000">
      <w:pPr>
        <w:widowControl/>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lastRenderedPageBreak/>
        <w:t>推进造林绿化工程。</w:t>
      </w:r>
      <w:r>
        <w:rPr>
          <w:rFonts w:ascii="仿宋_GB2312" w:eastAsia="仿宋_GB2312" w:hAnsi="仿宋_GB2312" w:cs="Times New Roman" w:hint="eastAsia"/>
          <w:sz w:val="32"/>
          <w:szCs w:val="32"/>
          <w14:ligatures w14:val="none"/>
        </w:rPr>
        <w:t>贯彻落实协同推进“降碳、减污、扩绿、增长”目标，科学开展国土绿化，深入实施“健康森林”行动，因地制宜实施人工造林、封山育林、退化林修复和森林抚育等工程。</w:t>
      </w:r>
    </w:p>
    <w:p w14:paraId="1EE3D549" w14:textId="01302D79" w:rsidR="0062582F" w:rsidRDefault="00000000">
      <w:pPr>
        <w:widowControl/>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构建美丽宜人自然生态系统。</w:t>
      </w:r>
      <w:r>
        <w:rPr>
          <w:rFonts w:ascii="仿宋_GB2312" w:eastAsia="仿宋_GB2312" w:hAnsi="仿宋_GB2312" w:cs="Times New Roman" w:hint="eastAsia"/>
          <w:sz w:val="32"/>
          <w:szCs w:val="32"/>
          <w14:ligatures w14:val="none"/>
        </w:rPr>
        <w:t>坚持山水林田湖草系统治理，全面推进实施生态治理、生态修复、污染防治和环境保护工程，构筑美丽宜人绿色生态格局。</w:t>
      </w:r>
    </w:p>
    <w:p w14:paraId="257A1BA0" w14:textId="304D3BC5" w:rsidR="0062582F" w:rsidRDefault="00000000">
      <w:pPr>
        <w:widowControl/>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sz w:val="32"/>
          <w14:ligatures w14:val="none"/>
        </w:rPr>
        <w:t>加强生态环境监测。</w:t>
      </w:r>
      <w:r>
        <w:rPr>
          <w:rFonts w:ascii="Times New Roman" w:eastAsia="仿宋_GB2312" w:hAnsi="Times New Roman" w:cs="Times New Roman" w:hint="eastAsia"/>
          <w:sz w:val="32"/>
          <w14:ligatures w14:val="none"/>
        </w:rPr>
        <w:t>严格规划管控全域产业和项目布局，依法依规处置河湖突出问题。</w:t>
      </w:r>
    </w:p>
    <w:p w14:paraId="58829540"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2" w:name="_Toc164695094"/>
      <w:r>
        <w:rPr>
          <w:rFonts w:ascii="黑体" w:eastAsia="黑体" w:hAnsi="黑体" w:cs="Times New Roman" w:hint="eastAsia"/>
          <w:b/>
          <w:bCs/>
          <w:sz w:val="32"/>
          <w:szCs w:val="32"/>
          <w14:ligatures w14:val="none"/>
        </w:rPr>
        <w:t>第五节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系统实施生态修复</w:t>
      </w:r>
      <w:bookmarkEnd w:id="82"/>
    </w:p>
    <w:p w14:paraId="24A4A712" w14:textId="2CEC23E4" w:rsidR="0062582F" w:rsidRDefault="00000000">
      <w:pPr>
        <w:spacing w:line="600" w:lineRule="exact"/>
        <w:ind w:firstLineChars="200" w:firstLine="640"/>
        <w:rPr>
          <w:rFonts w:ascii="仿宋_GB2312" w:eastAsia="仿宋_GB2312" w:hAnsi="华文中宋" w:cs="Times New Roman" w:hint="eastAsia"/>
          <w:sz w:val="32"/>
          <w:szCs w:val="32"/>
          <w14:ligatures w14:val="none"/>
        </w:rPr>
      </w:pPr>
      <w:r>
        <w:rPr>
          <w:rFonts w:ascii="楷体" w:eastAsia="楷体" w:hAnsi="楷体" w:cs="Times New Roman" w:hint="eastAsia"/>
          <w:sz w:val="32"/>
          <w14:ligatures w14:val="none"/>
        </w:rPr>
        <w:t>以流域统筹生态修复。</w:t>
      </w:r>
      <w:r>
        <w:rPr>
          <w:rFonts w:ascii="仿宋_GB2312" w:eastAsia="仿宋_GB2312" w:hAnsi="华文中宋" w:cs="Times New Roman" w:hint="eastAsia"/>
          <w:sz w:val="32"/>
          <w:szCs w:val="32"/>
          <w14:ligatures w14:val="none"/>
        </w:rPr>
        <w:t>森林质量提升重点区域为林地质量偏低、低产低效林集中分布区域。耕地质量提升重点区域为耕地质量偏低，土壤肥力不足的区域。土壤环境恢复重点区域为存在一定土壤污染问题，被列入严格管控区的国土空间。水土流失治理为植被覆盖率低、水土流失较为严重的区域。水域和湿地修复重点区域为生态功能重要且水环境和水生态以及岸线功能存在一定问题和风险的河湖水系及沿线湿地。矿山修复治理重点区域为现状废弃矿山及目前正在运行的生产型矿山。城镇生态修复重点区域为县城、香隅镇、大渡口镇等重点镇划定的城镇开发边界范围。生态退耕为自然保护地核心保护区、饮用水源一级保护区、河湖范围内的现状耕地。</w:t>
      </w:r>
    </w:p>
    <w:p w14:paraId="5BAA29D1" w14:textId="2EBAF92A"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sz w:val="32"/>
          <w14:ligatures w14:val="none"/>
        </w:rPr>
        <w:lastRenderedPageBreak/>
        <w:t>水体和湿地生态修复。</w:t>
      </w:r>
      <w:r>
        <w:rPr>
          <w:rFonts w:ascii="Times New Roman" w:eastAsia="仿宋_GB2312" w:hAnsi="Times New Roman" w:cs="Times New Roman" w:hint="eastAsia"/>
          <w:sz w:val="32"/>
          <w14:ligatures w14:val="none"/>
        </w:rPr>
        <w:t>加强长江、升金湖、尧渡河、黄湓河、龙泉河等水环境综合治理。</w:t>
      </w:r>
    </w:p>
    <w:p w14:paraId="2A130D52" w14:textId="55F58CC2" w:rsidR="0062582F" w:rsidRDefault="00000000">
      <w:pPr>
        <w:spacing w:line="600" w:lineRule="exact"/>
        <w:ind w:firstLineChars="200" w:firstLine="640"/>
        <w:rPr>
          <w:rFonts w:ascii="Calibri" w:eastAsia="仿宋_GB2312" w:hAnsi="Calibri" w:cs="Times New Roman"/>
          <w:sz w:val="32"/>
          <w14:ligatures w14:val="none"/>
        </w:rPr>
      </w:pPr>
      <w:r>
        <w:rPr>
          <w:rFonts w:ascii="楷体" w:eastAsia="楷体" w:hAnsi="楷体" w:cs="Times New Roman" w:hint="eastAsia"/>
          <w:sz w:val="32"/>
          <w14:ligatures w14:val="none"/>
        </w:rPr>
        <w:t>山体和林地生态修复。</w:t>
      </w:r>
      <w:r>
        <w:rPr>
          <w:rFonts w:ascii="Calibri" w:eastAsia="仿宋_GB2312" w:hAnsi="Calibri" w:cs="Times New Roman" w:hint="eastAsia"/>
          <w:sz w:val="32"/>
          <w14:ligatures w14:val="none"/>
        </w:rPr>
        <w:t>坚持自然恢复为主、人工修复为辅，加大森林抚育、退化林修复力度，优化森林树种结构，提高森林生态系统质量和稳定性。</w:t>
      </w:r>
    </w:p>
    <w:p w14:paraId="37F2C6D3" w14:textId="4825D9C6" w:rsidR="0062582F" w:rsidRDefault="00000000">
      <w:pPr>
        <w:spacing w:line="600" w:lineRule="exact"/>
        <w:ind w:firstLineChars="200" w:firstLine="640"/>
        <w:rPr>
          <w:rFonts w:ascii="Calibri" w:eastAsia="仿宋_GB2312" w:hAnsi="Calibri" w:cs="Times New Roman"/>
          <w:sz w:val="32"/>
          <w14:ligatures w14:val="none"/>
        </w:rPr>
      </w:pPr>
      <w:r>
        <w:rPr>
          <w:rFonts w:ascii="楷体" w:eastAsia="楷体" w:hAnsi="楷体" w:cs="Times New Roman" w:hint="eastAsia"/>
          <w:sz w:val="32"/>
          <w14:ligatures w14:val="none"/>
        </w:rPr>
        <w:t>土壤生态修复和污染防治。</w:t>
      </w:r>
      <w:r>
        <w:rPr>
          <w:rFonts w:ascii="Times New Roman" w:eastAsia="仿宋_GB2312" w:hAnsi="Times New Roman" w:cs="Times New Roman" w:hint="eastAsia"/>
          <w:sz w:val="32"/>
          <w14:ligatures w14:val="none"/>
        </w:rPr>
        <w:t>加快推进土壤污染修复，推行“治理修复</w:t>
      </w:r>
      <w:r>
        <w:rPr>
          <w:rFonts w:ascii="Times New Roman" w:eastAsia="仿宋_GB2312" w:hAnsi="Times New Roman" w:cs="Times New Roman"/>
          <w:sz w:val="32"/>
          <w14:ligatures w14:val="none"/>
        </w:rPr>
        <w:t>+</w:t>
      </w:r>
      <w:r>
        <w:rPr>
          <w:rFonts w:ascii="Times New Roman" w:eastAsia="仿宋_GB2312" w:hAnsi="Times New Roman" w:cs="Times New Roman" w:hint="eastAsia"/>
          <w:sz w:val="32"/>
          <w14:ligatures w14:val="none"/>
        </w:rPr>
        <w:t>开发建设”模式，优先保护耕地土壤环境，推进化肥农药减量化、土壤污染和白色污染治理，切实做好土壤污染防治工作。</w:t>
      </w:r>
    </w:p>
    <w:p w14:paraId="77C263CA" w14:textId="47E801FF"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sz w:val="32"/>
          <w14:ligatures w14:val="none"/>
        </w:rPr>
        <w:t>矿山生态修复。</w:t>
      </w:r>
      <w:r>
        <w:rPr>
          <w:rFonts w:ascii="Calibri" w:eastAsia="仿宋_GB2312" w:hAnsi="Calibri" w:cs="Times New Roman" w:hint="eastAsia"/>
          <w:sz w:val="32"/>
          <w14:ligatures w14:val="none"/>
        </w:rPr>
        <w:t>系统开展地质灾害治理、地形地貌恢复、水土环境治理、生态恢复。对生产型矿山开展边生产、边治理工作，加快绿色化改造升级，开展矿井废水、矿山粉尘、固体废弃物治理，提高矿山固体废弃物的综合利用率。</w:t>
      </w:r>
    </w:p>
    <w:p w14:paraId="55160AD4"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3" w:name="_Toc164695095"/>
      <w:r>
        <w:rPr>
          <w:rFonts w:ascii="黑体" w:eastAsia="黑体" w:hAnsi="黑体" w:cs="Times New Roman" w:hint="eastAsia"/>
          <w:b/>
          <w:bCs/>
          <w:sz w:val="32"/>
          <w:szCs w:val="32"/>
          <w14:ligatures w14:val="none"/>
        </w:rPr>
        <w:t>第六节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支撑双碳目标实现</w:t>
      </w:r>
      <w:bookmarkEnd w:id="83"/>
    </w:p>
    <w:p w14:paraId="49AA5C34" w14:textId="51F2D775"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sz w:val="32"/>
          <w14:ligatures w14:val="none"/>
        </w:rPr>
        <w:t>提高森林生态系统碳汇能力。</w:t>
      </w:r>
      <w:r>
        <w:rPr>
          <w:rFonts w:ascii="Calibri" w:eastAsia="仿宋_GB2312" w:hAnsi="Calibri" w:cs="Times New Roman" w:hint="eastAsia"/>
          <w:sz w:val="32"/>
          <w14:ligatures w14:val="none"/>
        </w:rPr>
        <w:t>提高现状灌木林地、疏林地、未成林森林质量，提升单位面积森林固碳能力。</w:t>
      </w:r>
    </w:p>
    <w:p w14:paraId="27A01407" w14:textId="6C407313"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sz w:val="32"/>
          <w14:ligatures w14:val="none"/>
        </w:rPr>
        <w:t>提升河湖湿地生态系统质量。</w:t>
      </w:r>
      <w:r>
        <w:rPr>
          <w:rFonts w:ascii="Times New Roman" w:eastAsia="仿宋_GB2312" w:hAnsi="Times New Roman" w:cs="Times New Roman" w:hint="eastAsia"/>
          <w:sz w:val="32"/>
          <w14:ligatures w14:val="none"/>
        </w:rPr>
        <w:t>持续开展河湖水环境调查，严格管控尧渡河等重要河流两侧城乡建设和农业生产活动，保护重要河流自然岸线，加大水污染防治力度。</w:t>
      </w:r>
    </w:p>
    <w:p w14:paraId="432D21EA" w14:textId="77777777" w:rsidR="0062582F" w:rsidRDefault="0062582F">
      <w:pPr>
        <w:ind w:firstLineChars="200" w:firstLine="640"/>
        <w:rPr>
          <w:rFonts w:ascii="Times New Roman" w:eastAsia="仿宋_GB2312" w:hAnsi="Times New Roman" w:cs="Times New Roman"/>
          <w:sz w:val="32"/>
          <w14:ligatures w14:val="none"/>
        </w:rPr>
      </w:pPr>
    </w:p>
    <w:p w14:paraId="357AF1E3" w14:textId="77777777" w:rsidR="0062582F" w:rsidRDefault="00000000">
      <w:pPr>
        <w:widowControl/>
        <w:jc w:val="left"/>
        <w:rPr>
          <w:rFonts w:ascii="Times New Roman" w:eastAsia="仿宋_GB2312" w:hAnsi="Times New Roman" w:cs="Times New Roman"/>
          <w:sz w:val="32"/>
          <w14:ligatures w14:val="none"/>
        </w:rPr>
      </w:pPr>
      <w:r>
        <w:rPr>
          <w:rFonts w:ascii="Times New Roman" w:eastAsia="仿宋_GB2312" w:hAnsi="Times New Roman" w:cs="Times New Roman"/>
          <w:sz w:val="32"/>
          <w14:ligatures w14:val="none"/>
        </w:rPr>
        <w:br w:type="page"/>
      </w:r>
    </w:p>
    <w:p w14:paraId="489E702D"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84" w:name="_Toc164695096"/>
      <w:r>
        <w:rPr>
          <w:rFonts w:ascii="方正小标宋简体" w:eastAsia="方正小标宋简体" w:hAnsi="Times New Roman" w:cs="Times New Roman" w:hint="eastAsia"/>
          <w:b/>
          <w:bCs/>
          <w:kern w:val="44"/>
          <w:sz w:val="44"/>
          <w:szCs w:val="44"/>
          <w14:ligatures w14:val="none"/>
        </w:rPr>
        <w:lastRenderedPageBreak/>
        <w:t>第六章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强化集约集聚，支撑以人为核心的新型城镇化</w:t>
      </w:r>
      <w:bookmarkEnd w:id="84"/>
    </w:p>
    <w:p w14:paraId="0142389B" w14:textId="77777777" w:rsidR="0062582F" w:rsidRDefault="00000000">
      <w:pPr>
        <w:widowControl/>
        <w:shd w:val="clear" w:color="auto" w:fill="FFFFFF"/>
        <w:spacing w:before="100" w:beforeAutospacing="1" w:after="100" w:afterAutospacing="1" w:line="600" w:lineRule="exact"/>
        <w:ind w:firstLine="720"/>
        <w:rPr>
          <w:rFonts w:ascii="Times New Roman" w:eastAsia="仿宋_GB2312" w:hAnsi="Times New Roman" w:cs="Times New Roman"/>
          <w:sz w:val="32"/>
          <w14:ligatures w14:val="none"/>
        </w:rPr>
      </w:pPr>
      <w:r>
        <w:rPr>
          <w:rFonts w:ascii="Times New Roman" w:eastAsia="仿宋_GB2312" w:hAnsi="Times New Roman" w:cs="Times New Roman"/>
          <w:sz w:val="32"/>
          <w14:ligatures w14:val="none"/>
        </w:rPr>
        <w:t>保障以县城为重要载体的城镇化建设，促进产城融合发展，</w:t>
      </w:r>
      <w:r>
        <w:rPr>
          <w:rFonts w:ascii="Times New Roman" w:eastAsia="仿宋_GB2312" w:hAnsi="Times New Roman" w:cs="Times New Roman" w:hint="eastAsia"/>
          <w:sz w:val="32"/>
          <w14:ligatures w14:val="none"/>
        </w:rPr>
        <w:t>加强东至县城、安徽东至经济开发区、安徽池州大渡口经济开发区（安徽石台经济开发区）建设，提升城镇能级，促进城镇功能品质提升，形成组团布局、集约集聚的城镇空间布局，增强居民幸福感。</w:t>
      </w:r>
    </w:p>
    <w:p w14:paraId="64824602"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5" w:name="_Toc164695097"/>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优化城镇空间格局</w:t>
      </w:r>
      <w:bookmarkEnd w:id="85"/>
    </w:p>
    <w:p w14:paraId="74C4A14D" w14:textId="444A2530" w:rsidR="0062582F" w:rsidRDefault="00000000">
      <w:pPr>
        <w:widowControl/>
        <w:shd w:val="clear" w:color="auto" w:fill="FFFFFF"/>
        <w:spacing w:before="100" w:beforeAutospacing="1" w:after="100" w:afterAutospacing="1" w:line="600" w:lineRule="exact"/>
        <w:ind w:firstLine="720"/>
        <w:rPr>
          <w:rFonts w:ascii="Times New Roman" w:eastAsia="仿宋_GB2312" w:hAnsi="Times New Roman" w:cs="Times New Roman"/>
          <w:sz w:val="32"/>
          <w14:ligatures w14:val="none"/>
        </w:rPr>
      </w:pPr>
      <w:r>
        <w:rPr>
          <w:rFonts w:ascii="楷体" w:eastAsia="楷体" w:hAnsi="楷体" w:cs="Times New Roman" w:hint="eastAsia"/>
          <w:sz w:val="32"/>
          <w14:ligatures w14:val="none"/>
        </w:rPr>
        <w:t>构建“一主两副，两带多点”的县域城镇空间格局。</w:t>
      </w:r>
      <w:r>
        <w:rPr>
          <w:rFonts w:ascii="Times New Roman" w:eastAsia="仿宋_GB2312" w:hAnsi="Times New Roman" w:cs="Times New Roman" w:hint="eastAsia"/>
          <w:sz w:val="32"/>
          <w14:ligatures w14:val="none"/>
        </w:rPr>
        <w:t>依托长江航道、</w:t>
      </w:r>
      <w:r>
        <w:rPr>
          <w:rFonts w:ascii="Times New Roman" w:eastAsia="仿宋_GB2312" w:hAnsi="Times New Roman" w:cs="Times New Roman" w:hint="eastAsia"/>
          <w:sz w:val="32"/>
          <w14:ligatures w14:val="none"/>
        </w:rPr>
        <w:t>G</w:t>
      </w:r>
      <w:r>
        <w:rPr>
          <w:rFonts w:ascii="Times New Roman" w:eastAsia="仿宋_GB2312" w:hAnsi="Times New Roman" w:cs="Times New Roman"/>
          <w:sz w:val="32"/>
          <w14:ligatures w14:val="none"/>
        </w:rPr>
        <w:t>206</w:t>
      </w:r>
      <w:r>
        <w:rPr>
          <w:rFonts w:ascii="Times New Roman" w:eastAsia="仿宋_GB2312" w:hAnsi="Times New Roman" w:cs="Times New Roman" w:hint="eastAsia"/>
          <w:sz w:val="32"/>
          <w14:ligatures w14:val="none"/>
        </w:rPr>
        <w:t>、</w:t>
      </w:r>
      <w:r>
        <w:rPr>
          <w:rFonts w:ascii="Times New Roman" w:eastAsia="仿宋_GB2312" w:hAnsi="Times New Roman" w:cs="Times New Roman" w:hint="eastAsia"/>
          <w:sz w:val="32"/>
          <w14:ligatures w14:val="none"/>
        </w:rPr>
        <w:t>G</w:t>
      </w:r>
      <w:r>
        <w:rPr>
          <w:rFonts w:ascii="Times New Roman" w:eastAsia="仿宋_GB2312" w:hAnsi="Times New Roman" w:cs="Times New Roman"/>
          <w:sz w:val="32"/>
          <w14:ligatures w14:val="none"/>
        </w:rPr>
        <w:t>530</w:t>
      </w:r>
      <w:r>
        <w:rPr>
          <w:rFonts w:ascii="Times New Roman" w:eastAsia="仿宋_GB2312" w:hAnsi="Times New Roman" w:cs="Times New Roman" w:hint="eastAsia"/>
          <w:sz w:val="32"/>
          <w14:ligatures w14:val="none"/>
        </w:rPr>
        <w:t>，以县城为核心，推进香隅、大渡口、胜利等沿江城镇与县城联动发展，积极推动沿江产业发展。依托</w:t>
      </w:r>
      <w:r>
        <w:rPr>
          <w:rFonts w:ascii="Times New Roman" w:eastAsia="仿宋_GB2312" w:hAnsi="Times New Roman" w:cs="Times New Roman" w:hint="eastAsia"/>
          <w:sz w:val="32"/>
          <w14:ligatures w14:val="none"/>
        </w:rPr>
        <w:t>G</w:t>
      </w:r>
      <w:r>
        <w:rPr>
          <w:rFonts w:ascii="Times New Roman" w:eastAsia="仿宋_GB2312" w:hAnsi="Times New Roman" w:cs="Times New Roman"/>
          <w:sz w:val="32"/>
          <w14:ligatures w14:val="none"/>
        </w:rPr>
        <w:t>236</w:t>
      </w:r>
      <w:r>
        <w:rPr>
          <w:rFonts w:ascii="Times New Roman" w:eastAsia="仿宋_GB2312" w:hAnsi="Times New Roman" w:cs="Times New Roman" w:hint="eastAsia"/>
          <w:sz w:val="32"/>
          <w14:ligatures w14:val="none"/>
        </w:rPr>
        <w:t>积极培育龙泉作为县域南部重点镇，加强与区域发展战略空间的衔接。</w:t>
      </w:r>
    </w:p>
    <w:p w14:paraId="75933EA2"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6" w:name="_Toc164695098"/>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完善县域城镇体系</w:t>
      </w:r>
      <w:bookmarkEnd w:id="86"/>
    </w:p>
    <w:p w14:paraId="2CD6C44A" w14:textId="6B817C33" w:rsidR="0062582F" w:rsidRDefault="00000000">
      <w:pPr>
        <w:widowControl/>
        <w:shd w:val="clear" w:color="auto" w:fill="FFFFFF"/>
        <w:spacing w:before="100" w:beforeAutospacing="1" w:after="100" w:afterAutospacing="1" w:line="600" w:lineRule="exact"/>
        <w:ind w:firstLine="720"/>
        <w:rPr>
          <w:rFonts w:ascii="Times New Roman" w:eastAsia="仿宋_GB2312" w:hAnsi="Times New Roman" w:cs="Times New Roman"/>
          <w:sz w:val="32"/>
          <w14:ligatures w14:val="none"/>
        </w:rPr>
      </w:pPr>
      <w:r>
        <w:rPr>
          <w:rFonts w:ascii="楷体" w:eastAsia="楷体" w:hAnsi="楷体" w:cs="Times New Roman" w:hint="eastAsia"/>
          <w:sz w:val="32"/>
          <w14:ligatures w14:val="none"/>
        </w:rPr>
        <w:t>完善县域城镇体系。</w:t>
      </w:r>
      <w:r>
        <w:rPr>
          <w:rFonts w:ascii="Times New Roman" w:eastAsia="仿宋_GB2312" w:hAnsi="Times New Roman" w:cs="Times New Roman" w:hint="eastAsia"/>
          <w:sz w:val="32"/>
          <w14:ligatures w14:val="none"/>
        </w:rPr>
        <w:t>形成县域“县城—重点镇—一般镇”</w:t>
      </w:r>
      <w:r>
        <w:rPr>
          <w:rFonts w:ascii="Times New Roman" w:eastAsia="仿宋_GB2312" w:hAnsi="Times New Roman" w:cs="Times New Roman"/>
          <w:sz w:val="32"/>
          <w14:ligatures w14:val="none"/>
        </w:rPr>
        <w:t xml:space="preserve"> </w:t>
      </w:r>
      <w:r>
        <w:rPr>
          <w:rFonts w:ascii="Times New Roman" w:eastAsia="仿宋_GB2312" w:hAnsi="Times New Roman" w:cs="Times New Roman" w:hint="eastAsia"/>
          <w:sz w:val="32"/>
          <w14:ligatures w14:val="none"/>
        </w:rPr>
        <w:t>组成的三级城镇规模等级体系。发展空间集中到规模效益更突出、设施配套更完善、城镇化承载水平更高的县城及县域北部区域产业集聚片区。</w:t>
      </w:r>
    </w:p>
    <w:p w14:paraId="08DEF0A2" w14:textId="77777777" w:rsidR="0062582F" w:rsidRDefault="00000000">
      <w:pPr>
        <w:widowControl/>
        <w:shd w:val="clear" w:color="auto" w:fill="FFFFFF"/>
        <w:spacing w:before="100" w:beforeAutospacing="1" w:after="100" w:afterAutospacing="1" w:line="600" w:lineRule="exact"/>
        <w:ind w:firstLine="720"/>
        <w:rPr>
          <w:rFonts w:ascii="Times New Roman" w:eastAsia="仿宋_GB2312" w:hAnsi="Times New Roman" w:cs="Times New Roman"/>
          <w:sz w:val="32"/>
          <w14:ligatures w14:val="none"/>
        </w:rPr>
      </w:pPr>
      <w:r>
        <w:rPr>
          <w:rFonts w:ascii="楷体" w:eastAsia="楷体" w:hAnsi="楷体" w:cs="Times New Roman" w:hint="eastAsia"/>
          <w:sz w:val="32"/>
          <w14:ligatures w14:val="none"/>
        </w:rPr>
        <w:lastRenderedPageBreak/>
        <w:t>提升县城辐射带动能力。</w:t>
      </w:r>
      <w:r>
        <w:rPr>
          <w:rFonts w:ascii="Times New Roman" w:eastAsia="仿宋_GB2312" w:hAnsi="Times New Roman" w:cs="Times New Roman" w:hint="eastAsia"/>
          <w:sz w:val="32"/>
          <w14:ligatures w14:val="none"/>
        </w:rPr>
        <w:t>县城包括尧渡镇和东流镇，是推进以县城为重要载体的新型城镇化建设的主要空间。合理保障县城空间需求，重点完善基本公共服务职能，实现“补短板、强弱项”。提高吸纳新增城镇人口、服务周边农村地区人口的能力，依托优势资源发展文化旅游、港口物流、休闲康养等产业。</w:t>
      </w:r>
    </w:p>
    <w:p w14:paraId="6BC23916"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7" w:name="_Toc164695099"/>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保障特色多元化的产业空间</w:t>
      </w:r>
      <w:bookmarkEnd w:id="87"/>
    </w:p>
    <w:p w14:paraId="1514F0B7" w14:textId="6F999737"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楷体" w:eastAsia="楷体" w:hAnsi="楷体" w:cs="Times New Roman" w:hint="eastAsia"/>
          <w:sz w:val="32"/>
          <w14:ligatures w14:val="none"/>
        </w:rPr>
        <w:t>优化整合县域产业园区。</w:t>
      </w:r>
      <w:r>
        <w:rPr>
          <w:rFonts w:ascii="Times New Roman" w:eastAsia="仿宋_GB2312" w:hAnsi="Times New Roman" w:cs="Times New Roman" w:hint="eastAsia"/>
          <w:sz w:val="32"/>
          <w14:ligatures w14:val="none"/>
        </w:rPr>
        <w:t>引导产业用地向园区集中，满足东至经济开发区、大渡口经济开发区（安徽石台经济开发区）的工业用地发展需求，保障已列入省重点建设项目清单、符合园区发展方向、产业名录的重大产业项目建设空间，精准配置香隅镇、大渡口镇、胜利镇等工业型重点镇的新增工业用地，合理满足非金属矿精深加工、智能装备制造、农产品加工等特色制造业用地需求</w:t>
      </w:r>
      <w:r w:rsidR="00D406DB">
        <w:rPr>
          <w:rFonts w:ascii="Times New Roman" w:eastAsia="仿宋_GB2312" w:hAnsi="Times New Roman" w:cs="Times New Roman" w:hint="eastAsia"/>
          <w:sz w:val="32"/>
          <w14:ligatures w14:val="none"/>
        </w:rPr>
        <w:t>，提高园区工业用地占比</w:t>
      </w:r>
      <w:r>
        <w:rPr>
          <w:rFonts w:ascii="Times New Roman" w:eastAsia="仿宋_GB2312" w:hAnsi="Times New Roman" w:cs="Times New Roman" w:hint="eastAsia"/>
          <w:sz w:val="32"/>
          <w14:ligatures w14:val="none"/>
        </w:rPr>
        <w:t>。</w:t>
      </w:r>
    </w:p>
    <w:p w14:paraId="5F63495C" w14:textId="77777777"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楷体" w:eastAsia="楷体" w:hAnsi="楷体" w:cs="Times New Roman" w:hint="eastAsia"/>
          <w:sz w:val="32"/>
          <w14:ligatures w14:val="none"/>
        </w:rPr>
        <w:t>保障舜城新区发展空间。</w:t>
      </w:r>
      <w:r>
        <w:rPr>
          <w:rFonts w:ascii="Times New Roman" w:eastAsia="仿宋_GB2312" w:hAnsi="Times New Roman" w:cs="Times New Roman" w:hint="eastAsia"/>
          <w:sz w:val="32"/>
          <w14:ligatures w14:val="none"/>
        </w:rPr>
        <w:t>以人的需求为出发点、以宜居为目标，结合高铁站点建设产城融合的舜城新区，实现东流和尧渡镇联动发展，保障科教和商务功能用地。</w:t>
      </w:r>
    </w:p>
    <w:p w14:paraId="7F02470E" w14:textId="77777777"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楷体" w:eastAsia="楷体" w:hAnsi="楷体" w:cs="Times New Roman" w:hint="eastAsia"/>
          <w:sz w:val="32"/>
          <w14:ligatures w14:val="none"/>
        </w:rPr>
        <w:t>保障创新产业用地供给。</w:t>
      </w:r>
      <w:r>
        <w:rPr>
          <w:rFonts w:ascii="Times New Roman" w:eastAsia="仿宋_GB2312" w:hAnsi="Times New Roman" w:cs="Times New Roman" w:hint="eastAsia"/>
          <w:sz w:val="32"/>
          <w14:ligatures w14:val="none"/>
        </w:rPr>
        <w:t>鼓励采用长期租赁、先租后让、弹性年期供应等方式供应产业用地，促进创新要素空间集聚。在环境优美、交通便利的小城镇、乡村地区，创新土地供给模式，支撑培育创新节点。</w:t>
      </w:r>
    </w:p>
    <w:p w14:paraId="156CCEDD"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88" w:name="_Toc164695100"/>
      <w:r>
        <w:rPr>
          <w:rFonts w:ascii="黑体" w:eastAsia="黑体" w:hAnsi="黑体" w:cs="Times New Roman" w:hint="eastAsia"/>
          <w:b/>
          <w:bCs/>
          <w:sz w:val="32"/>
          <w:szCs w:val="32"/>
          <w14:ligatures w14:val="none"/>
        </w:rPr>
        <w:lastRenderedPageBreak/>
        <w:t>第四节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统筹城乡服务设施布局</w:t>
      </w:r>
      <w:bookmarkEnd w:id="88"/>
    </w:p>
    <w:p w14:paraId="0A48A19F" w14:textId="77777777" w:rsidR="0062582F" w:rsidRDefault="00000000">
      <w:pPr>
        <w:spacing w:line="600" w:lineRule="exact"/>
        <w:ind w:firstLineChars="200" w:firstLine="640"/>
        <w:rPr>
          <w:rFonts w:ascii="仿宋_GB2312" w:eastAsia="仿宋_GB2312" w:hAnsi="Times New Roman" w:cs="Times New Roman"/>
          <w:sz w:val="32"/>
          <w14:ligatures w14:val="none"/>
        </w:rPr>
      </w:pPr>
      <w:bookmarkStart w:id="89" w:name="_Hlk121819064"/>
      <w:r>
        <w:rPr>
          <w:rFonts w:ascii="楷体" w:eastAsia="楷体" w:hAnsi="楷体" w:cs="Times New Roman" w:hint="eastAsia"/>
          <w:sz w:val="32"/>
          <w14:ligatures w14:val="none"/>
        </w:rPr>
        <w:t>构建县域三级城乡生活圈体系。</w:t>
      </w:r>
      <w:r>
        <w:rPr>
          <w:rFonts w:ascii="仿宋_GB2312" w:eastAsia="仿宋_GB2312" w:hAnsi="Times New Roman" w:cs="Times New Roman" w:hint="eastAsia"/>
          <w:sz w:val="32"/>
          <w14:ligatures w14:val="none"/>
        </w:rPr>
        <w:t>形成</w:t>
      </w:r>
      <w:r>
        <w:rPr>
          <w:rFonts w:ascii="仿宋_GB2312" w:eastAsia="仿宋_GB2312" w:hAnsi="Times New Roman" w:cs="Times New Roman"/>
          <w:sz w:val="32"/>
          <w14:ligatures w14:val="none"/>
        </w:rPr>
        <w:t>县</w:t>
      </w:r>
      <w:r>
        <w:rPr>
          <w:rFonts w:ascii="仿宋_GB2312" w:eastAsia="仿宋_GB2312" w:hAnsi="Times New Roman" w:cs="Times New Roman" w:hint="eastAsia"/>
          <w:sz w:val="32"/>
          <w14:ligatures w14:val="none"/>
        </w:rPr>
        <w:t>城—乡镇—中心村（社区）</w:t>
      </w:r>
      <w:r>
        <w:rPr>
          <w:rFonts w:ascii="仿宋_GB2312" w:eastAsia="仿宋_GB2312" w:hAnsi="Times New Roman" w:cs="Times New Roman"/>
          <w:sz w:val="32"/>
          <w14:ligatures w14:val="none"/>
        </w:rPr>
        <w:t>公共服务配套体系</w:t>
      </w:r>
      <w:r>
        <w:rPr>
          <w:rFonts w:ascii="仿宋_GB2312" w:eastAsia="仿宋_GB2312" w:hAnsi="Times New Roman" w:cs="Times New Roman" w:hint="eastAsia"/>
          <w:sz w:val="32"/>
          <w14:ligatures w14:val="none"/>
        </w:rPr>
        <w:t>，提高城乡高品质公共服务水平，完善乡镇区域公共服务设施中心的服务功能，发挥中心村（社区）的基层服务功能，优化公共服务设施布局，提高资源使用效率。城镇配置学校、卫生院、敬老院、文化站、运动健身场地等公共服务设施，提高优质公共服务覆盖率，构建乡镇基础生活圈；中心村（社区）配置保障性基本公共服务设施、基础性生产服务设施和公共活动场所。</w:t>
      </w:r>
    </w:p>
    <w:p w14:paraId="1F6D001E" w14:textId="3A10E82F" w:rsidR="0062582F" w:rsidRDefault="00000000">
      <w:pPr>
        <w:spacing w:line="600" w:lineRule="exact"/>
        <w:ind w:firstLineChars="200" w:firstLine="640"/>
        <w:rPr>
          <w:rFonts w:ascii="仿宋_GB2312" w:eastAsia="仿宋_GB2312" w:hAnsi="Times New Roman" w:cs="Times New Roman"/>
          <w:sz w:val="32"/>
          <w14:ligatures w14:val="none"/>
        </w:rPr>
      </w:pPr>
      <w:bookmarkStart w:id="90" w:name="_Hlk121819047"/>
      <w:r>
        <w:rPr>
          <w:rFonts w:ascii="楷体" w:eastAsia="楷体" w:hAnsi="楷体" w:cs="Times New Roman" w:hint="eastAsia"/>
          <w:sz w:val="32"/>
          <w14:ligatures w14:val="none"/>
        </w:rPr>
        <w:t>完善城市高品质公共服务设施</w:t>
      </w:r>
      <w:bookmarkEnd w:id="90"/>
      <w:r>
        <w:rPr>
          <w:rFonts w:ascii="楷体" w:eastAsia="楷体" w:hAnsi="楷体" w:cs="Times New Roman" w:hint="eastAsia"/>
          <w:sz w:val="32"/>
          <w14:ligatures w14:val="none"/>
        </w:rPr>
        <w:t>。</w:t>
      </w:r>
      <w:r>
        <w:rPr>
          <w:rFonts w:ascii="仿宋_GB2312" w:eastAsia="仿宋_GB2312" w:hAnsi="Times New Roman" w:cs="Times New Roman" w:hint="eastAsia"/>
          <w:sz w:val="32"/>
          <w14:ligatures w14:val="none"/>
        </w:rPr>
        <w:t>中心城区、香隅镇、大渡口镇按照</w:t>
      </w:r>
      <w:r>
        <w:rPr>
          <w:rFonts w:ascii="仿宋_GB2312" w:eastAsia="仿宋_GB2312" w:hAnsi="Times New Roman" w:cs="Times New Roman"/>
          <w:sz w:val="32"/>
          <w14:ligatures w14:val="none"/>
        </w:rPr>
        <w:t>15分钟步行可达的空间范围，结合街道等基层管理需求，构建15分钟、10分钟、5分钟三级城市社区生活圈。依托街道级党群服务中心构建15分钟生活圈，形成全龄友好的社区生活服务单元。依托社区党群服务中心构建10分钟生活圈，配置日常基本保障性公共服务设施和公共活动场所。依托片区党群服务站构建5分钟生活圈。</w:t>
      </w:r>
    </w:p>
    <w:p w14:paraId="33AA50F2" w14:textId="77777777" w:rsidR="0062582F" w:rsidRDefault="00000000">
      <w:pPr>
        <w:spacing w:line="600" w:lineRule="exact"/>
        <w:ind w:firstLineChars="200" w:firstLine="640"/>
        <w:rPr>
          <w:rFonts w:ascii="仿宋_GB2312" w:eastAsia="仿宋_GB2312" w:hAnsi="Times New Roman" w:cs="Times New Roman"/>
          <w:sz w:val="32"/>
          <w14:ligatures w14:val="none"/>
        </w:rPr>
      </w:pPr>
      <w:bookmarkStart w:id="91" w:name="_Hlk121819054"/>
      <w:r>
        <w:rPr>
          <w:rFonts w:ascii="楷体" w:eastAsia="楷体" w:hAnsi="楷体" w:cs="Times New Roman" w:hint="eastAsia"/>
          <w:sz w:val="32"/>
          <w14:ligatures w14:val="none"/>
        </w:rPr>
        <w:t>完善乡镇公共服务设施功能</w:t>
      </w:r>
      <w:bookmarkEnd w:id="91"/>
      <w:r>
        <w:rPr>
          <w:rFonts w:ascii="楷体" w:eastAsia="楷体" w:hAnsi="楷体" w:cs="Times New Roman" w:hint="eastAsia"/>
          <w:sz w:val="32"/>
          <w14:ligatures w14:val="none"/>
        </w:rPr>
        <w:t>。</w:t>
      </w:r>
      <w:r>
        <w:rPr>
          <w:rFonts w:ascii="仿宋_GB2312" w:eastAsia="仿宋_GB2312" w:hAnsi="Times New Roman" w:cs="Times New Roman" w:hint="eastAsia"/>
          <w:sz w:val="32"/>
          <w14:ligatures w14:val="none"/>
        </w:rPr>
        <w:t>以乡镇所在地为中心，构建乡镇社区生活圈，组织乡村生产生活和公共服务设施配置，提高公共服务均等化水平。</w:t>
      </w:r>
      <w:r w:rsidRPr="00004B9E">
        <w:rPr>
          <w:rFonts w:ascii="仿宋_GB2312" w:eastAsia="仿宋_GB2312" w:hAnsi="Times New Roman" w:cs="Times New Roman" w:hint="eastAsia"/>
          <w:sz w:val="32"/>
          <w14:ligatures w14:val="none"/>
        </w:rPr>
        <w:t>补齐公共服务设施短板，保障乡镇学校、卫生院、敬老院、运动健身场地等公共服务设施，合理确定设施数量和用地规模，预留其新建和改扩建用地空间</w:t>
      </w:r>
      <w:r>
        <w:rPr>
          <w:rFonts w:ascii="仿宋_GB2312" w:eastAsia="仿宋_GB2312" w:hAnsi="Times New Roman" w:cs="Times New Roman" w:hint="eastAsia"/>
          <w:sz w:val="32"/>
          <w14:ligatures w14:val="none"/>
        </w:rPr>
        <w:t>，兼顾对村庄</w:t>
      </w:r>
      <w:r>
        <w:rPr>
          <w:rFonts w:ascii="仿宋_GB2312" w:eastAsia="仿宋_GB2312" w:hAnsi="Times New Roman" w:cs="Times New Roman" w:hint="eastAsia"/>
          <w:sz w:val="32"/>
          <w14:ligatures w14:val="none"/>
        </w:rPr>
        <w:lastRenderedPageBreak/>
        <w:t>的服务延伸。适度提高龙泉镇南部重点镇的公共服务设施配置标准，发挥就近就地服务作用，促进山区人口向重点镇集聚。</w:t>
      </w:r>
      <w:r>
        <w:rPr>
          <w:rFonts w:ascii="仿宋_GB2312" w:eastAsia="仿宋_GB2312" w:hAnsi="仿宋_GB2312" w:cs="Times New Roman" w:hint="eastAsia"/>
          <w:sz w:val="32"/>
          <w:szCs w:val="32"/>
          <w14:ligatures w14:val="none"/>
        </w:rPr>
        <w:t>张溪镇、葛公镇、花园乡</w:t>
      </w:r>
      <w:r>
        <w:rPr>
          <w:rFonts w:ascii="仿宋_GB2312" w:eastAsia="仿宋_GB2312" w:hAnsi="Times New Roman" w:cs="Times New Roman" w:hint="eastAsia"/>
          <w:sz w:val="32"/>
          <w14:ligatures w14:val="none"/>
        </w:rPr>
        <w:t>等旅游型乡镇结合自身需求配置旅游服务等特色设施。</w:t>
      </w:r>
    </w:p>
    <w:p w14:paraId="27F029C9" w14:textId="35A83408" w:rsidR="0062582F" w:rsidRDefault="00000000">
      <w:pPr>
        <w:widowControl/>
        <w:spacing w:line="600" w:lineRule="exact"/>
        <w:ind w:firstLineChars="200" w:firstLine="640"/>
        <w:jc w:val="left"/>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完善中心村（社区）的基层服务功能。</w:t>
      </w:r>
      <w:r>
        <w:rPr>
          <w:rFonts w:ascii="仿宋_GB2312" w:eastAsia="仿宋_GB2312" w:hAnsi="Times New Roman" w:cs="Times New Roman" w:hint="eastAsia"/>
          <w:sz w:val="32"/>
          <w14:ligatures w14:val="none"/>
        </w:rPr>
        <w:t>以中心村（社区）为中心，构建村级社区生活圈。综合考虑乡村居民常用交通方式，按照</w:t>
      </w:r>
      <w:r>
        <w:rPr>
          <w:rFonts w:ascii="仿宋_GB2312" w:eastAsia="仿宋_GB2312" w:hAnsi="Times New Roman" w:cs="Times New Roman"/>
          <w:sz w:val="32"/>
          <w14:ligatures w14:val="none"/>
        </w:rPr>
        <w:t>15分钟可达的空间尺度，配置保障性公共服务设施、基础性生产服务设施和公共活动场所。</w:t>
      </w:r>
      <w:bookmarkEnd w:id="89"/>
      <w:r>
        <w:rPr>
          <w:rFonts w:ascii="仿宋_GB2312" w:eastAsia="仿宋_GB2312" w:hAnsi="仿宋_GB2312" w:cs="Times New Roman"/>
          <w:sz w:val="32"/>
          <w:szCs w:val="32"/>
          <w14:ligatures w14:val="none"/>
        </w:rPr>
        <w:br w:type="page"/>
      </w:r>
    </w:p>
    <w:p w14:paraId="437FBDA4"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92" w:name="_Toc164695101"/>
      <w:r>
        <w:rPr>
          <w:rFonts w:ascii="方正小标宋简体" w:eastAsia="方正小标宋简体" w:hAnsi="Times New Roman" w:cs="Times New Roman" w:hint="eastAsia"/>
          <w:b/>
          <w:bCs/>
          <w:kern w:val="44"/>
          <w:sz w:val="44"/>
          <w:szCs w:val="44"/>
          <w14:ligatures w14:val="none"/>
        </w:rPr>
        <w:lastRenderedPageBreak/>
        <w:t>第七章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优化城区布局，支撑建设现代化滨江城市</w:t>
      </w:r>
      <w:bookmarkEnd w:id="92"/>
    </w:p>
    <w:p w14:paraId="169B0A35" w14:textId="77777777"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仿宋_GB2312" w:eastAsia="仿宋_GB2312" w:hAnsi="仿宋_GB2312" w:cs="Times New Roman" w:hint="eastAsia"/>
          <w:sz w:val="32"/>
          <w:szCs w:val="32"/>
          <w14:ligatures w14:val="none"/>
        </w:rPr>
        <w:t>彰显“</w:t>
      </w:r>
      <w:r>
        <w:rPr>
          <w:rFonts w:ascii="Times New Roman" w:eastAsia="仿宋_GB2312" w:hAnsi="Times New Roman" w:cs="Times New Roman" w:hint="eastAsia"/>
          <w:sz w:val="32"/>
          <w:szCs w:val="32"/>
          <w14:ligatures w14:val="none"/>
        </w:rPr>
        <w:t>以水为脉、河湖点缀、显山露水，山水融城</w:t>
      </w:r>
      <w:r>
        <w:rPr>
          <w:rFonts w:ascii="仿宋_GB2312" w:eastAsia="仿宋_GB2312" w:hAnsi="仿宋_GB2312" w:cs="Times New Roman" w:hint="eastAsia"/>
          <w:sz w:val="32"/>
          <w:szCs w:val="32"/>
          <w14:ligatures w14:val="none"/>
        </w:rPr>
        <w:t>”空间</w:t>
      </w:r>
      <w:r>
        <w:rPr>
          <w:rFonts w:ascii="仿宋_GB2312" w:eastAsia="仿宋_GB2312" w:hAnsi="仿宋_GB2312" w:cs="Times New Roman"/>
          <w:sz w:val="32"/>
          <w:szCs w:val="32"/>
          <w14:ligatures w14:val="none"/>
        </w:rPr>
        <w:t>，</w:t>
      </w:r>
      <w:r>
        <w:rPr>
          <w:rFonts w:ascii="Times New Roman" w:eastAsia="仿宋_GB2312" w:hAnsi="Times New Roman" w:cs="Times New Roman" w:hint="eastAsia"/>
          <w:sz w:val="32"/>
          <w14:ligatures w14:val="none"/>
        </w:rPr>
        <w:t>提升县城能级，促进县城人口集聚，</w:t>
      </w:r>
      <w:r>
        <w:rPr>
          <w:rFonts w:ascii="仿宋_GB2312" w:eastAsia="仿宋_GB2312" w:hAnsi="仿宋_GB2312" w:cs="Times New Roman"/>
          <w:sz w:val="32"/>
          <w:szCs w:val="32"/>
          <w14:ligatures w14:val="none"/>
        </w:rPr>
        <w:t>以人民为中心，围绕建设现代化滨江</w:t>
      </w:r>
      <w:r>
        <w:rPr>
          <w:rFonts w:ascii="Times New Roman" w:eastAsia="仿宋_GB2312" w:hAnsi="Times New Roman" w:cs="Times New Roman" w:hint="eastAsia"/>
          <w:sz w:val="32"/>
          <w:szCs w:val="32"/>
          <w14:ligatures w14:val="none"/>
        </w:rPr>
        <w:t>县级中心城市，</w:t>
      </w:r>
      <w:r>
        <w:rPr>
          <w:rFonts w:ascii="仿宋_GB2312" w:eastAsia="仿宋_GB2312" w:hAnsi="仿宋_GB2312" w:cs="Times New Roman"/>
          <w:sz w:val="32"/>
          <w:szCs w:val="32"/>
          <w14:ligatures w14:val="none"/>
        </w:rPr>
        <w:t xml:space="preserve">优化城市用地布局，推进公共服务设施布局均衡，加强总体城市设计管控，推动城市空间品质提升。 </w:t>
      </w:r>
    </w:p>
    <w:p w14:paraId="54E34D9F" w14:textId="77777777"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93" w:name="_Toc164695102"/>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优化城市空间结构</w:t>
      </w:r>
      <w:bookmarkEnd w:id="93"/>
    </w:p>
    <w:p w14:paraId="2F25B9B5" w14:textId="77777777" w:rsidR="0062582F" w:rsidRDefault="00000000">
      <w:pPr>
        <w:spacing w:line="600" w:lineRule="exact"/>
        <w:ind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hint="eastAsia"/>
          <w:sz w:val="32"/>
          <w:szCs w:val="32"/>
          <w:lang w:bidi="ar"/>
          <w14:ligatures w14:val="none"/>
        </w:rPr>
        <w:t>完善中心城区空间结构。</w:t>
      </w:r>
      <w:r>
        <w:rPr>
          <w:rFonts w:ascii="Times New Roman" w:eastAsia="仿宋_GB2312" w:hAnsi="Times New Roman" w:cs="Times New Roman" w:hint="eastAsia"/>
          <w:sz w:val="32"/>
          <w14:ligatures w14:val="none"/>
        </w:rPr>
        <w:t>构建“一轴一脉，两廊三城”的空间结构。</w:t>
      </w:r>
      <w:r>
        <w:rPr>
          <w:rFonts w:ascii="Times New Roman" w:eastAsia="仿宋_GB2312" w:hAnsi="Times New Roman" w:cs="Times New Roman" w:hint="eastAsia"/>
          <w:sz w:val="32"/>
          <w:lang w:bidi="ar"/>
          <w14:ligatures w14:val="none"/>
        </w:rPr>
        <w:t>形成公共</w:t>
      </w:r>
      <w:r>
        <w:rPr>
          <w:rFonts w:ascii="Times New Roman" w:eastAsia="仿宋_GB2312" w:hAnsi="Times New Roman" w:cs="Times New Roman"/>
          <w:sz w:val="32"/>
          <w:szCs w:val="32"/>
          <w:lang w:bidi="ar"/>
          <w14:ligatures w14:val="none"/>
        </w:rPr>
        <w:t>服务设施布局均衡、职住平衡、路网结构合理、蓝绿空间连通的多中心、组团式空间布局。</w:t>
      </w:r>
    </w:p>
    <w:p w14:paraId="243C6C05" w14:textId="77777777"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94" w:name="_Toc164695103"/>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明确中心城区规划分区</w:t>
      </w:r>
      <w:bookmarkEnd w:id="94"/>
    </w:p>
    <w:p w14:paraId="3D08CA1E" w14:textId="4CF61214" w:rsidR="0062582F" w:rsidRDefault="00000000">
      <w:pPr>
        <w:spacing w:before="48" w:line="600" w:lineRule="exact"/>
        <w:ind w:firstLine="641"/>
        <w:rPr>
          <w:rFonts w:ascii="Times New Roman" w:eastAsia="仿宋_GB2312" w:hAnsi="Times New Roman" w:cs="Times New Roman"/>
          <w:sz w:val="32"/>
          <w14:ligatures w14:val="none"/>
        </w:rPr>
      </w:pPr>
      <w:r>
        <w:rPr>
          <w:rFonts w:ascii="Times New Roman" w:eastAsia="楷体" w:hAnsi="Times New Roman" w:cs="Times New Roman" w:hint="eastAsia"/>
          <w:sz w:val="32"/>
          <w14:ligatures w14:val="none"/>
        </w:rPr>
        <w:t>明确</w:t>
      </w:r>
      <w:r>
        <w:rPr>
          <w:rFonts w:ascii="Times New Roman" w:eastAsia="楷体" w:hAnsi="Times New Roman" w:cs="Times New Roman"/>
          <w:sz w:val="32"/>
          <w14:ligatures w14:val="none"/>
        </w:rPr>
        <w:t>中心城区规划分区。</w:t>
      </w:r>
      <w:r>
        <w:rPr>
          <w:rFonts w:ascii="Times New Roman" w:eastAsia="仿宋_GB2312" w:hAnsi="Times New Roman" w:cs="Times New Roman"/>
          <w:sz w:val="32"/>
          <w14:ligatures w14:val="none"/>
        </w:rPr>
        <w:t>划定</w:t>
      </w:r>
      <w:r>
        <w:rPr>
          <w:rFonts w:ascii="Times New Roman" w:eastAsia="仿宋_GB2312" w:hAnsi="Times New Roman" w:cs="Times New Roman" w:hint="eastAsia"/>
          <w:sz w:val="32"/>
          <w14:ligatures w14:val="none"/>
        </w:rPr>
        <w:t>居住生活区、综合服务区、商业商务区、工业发展区、物流仓储区、绿地休闲区、交通枢纽区、战略预留区、特别用途区、村庄建设区十类二级规划分区，制定分区发展引导。</w:t>
      </w:r>
    </w:p>
    <w:p w14:paraId="4AEEDD8F" w14:textId="77777777"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95" w:name="_Toc164695104"/>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完善城市用地布局</w:t>
      </w:r>
      <w:bookmarkEnd w:id="95"/>
    </w:p>
    <w:p w14:paraId="48B6937C" w14:textId="4F47C2D6" w:rsidR="0062582F" w:rsidRDefault="00000000">
      <w:pPr>
        <w:spacing w:before="48" w:line="600" w:lineRule="exact"/>
        <w:ind w:firstLine="643"/>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加强居住用地布局引导。</w:t>
      </w:r>
      <w:r>
        <w:rPr>
          <w:rFonts w:ascii="Calibri" w:eastAsia="仿宋_GB2312" w:hAnsi="Calibri" w:cs="Times New Roman" w:hint="eastAsia"/>
          <w:sz w:val="32"/>
          <w14:ligatures w14:val="none"/>
        </w:rPr>
        <w:t>按照人口分布与城市组团划分，</w:t>
      </w:r>
      <w:r>
        <w:rPr>
          <w:rFonts w:ascii="Calibri" w:eastAsia="仿宋_GB2312" w:hAnsi="Calibri" w:cs="Times New Roman" w:hint="eastAsia"/>
          <w:sz w:val="32"/>
          <w14:ligatures w14:val="none"/>
        </w:rPr>
        <w:lastRenderedPageBreak/>
        <w:t>结合就业岗位分布优化居住用地供应，促进实现职住平衡。居住用地优先在公共交通节点、公共服务设施周边布局。加强不同类型居住用地的混合布局，完善居住社区公共交通和公共服务设施配套水平</w:t>
      </w:r>
      <w:r>
        <w:rPr>
          <w:rFonts w:ascii="Calibri" w:eastAsia="仿宋_GB2312" w:hAnsi="Calibri" w:cs="Times New Roman"/>
          <w:sz w:val="32"/>
          <w14:ligatures w14:val="none"/>
        </w:rPr>
        <w:t>。</w:t>
      </w:r>
    </w:p>
    <w:p w14:paraId="1F44E267" w14:textId="0F0A6236" w:rsidR="0062582F" w:rsidRDefault="00000000">
      <w:pPr>
        <w:spacing w:line="600" w:lineRule="exact"/>
        <w:ind w:firstLineChars="200" w:firstLine="640"/>
        <w:rPr>
          <w:rFonts w:ascii="Calibri" w:eastAsia="仿宋_GB2312" w:hAnsi="Calibri" w:cs="Times New Roman"/>
          <w:sz w:val="32"/>
          <w:lang w:bidi="ar"/>
          <w14:ligatures w14:val="none"/>
        </w:rPr>
      </w:pPr>
      <w:r>
        <w:rPr>
          <w:rFonts w:ascii="Times New Roman" w:eastAsia="楷体" w:hAnsi="Times New Roman" w:cs="Times New Roman" w:hint="eastAsia"/>
          <w:sz w:val="32"/>
          <w:szCs w:val="32"/>
          <w:lang w:bidi="ar"/>
          <w14:ligatures w14:val="none"/>
        </w:rPr>
        <w:t>完善</w:t>
      </w:r>
      <w:r>
        <w:rPr>
          <w:rFonts w:ascii="Times New Roman" w:eastAsia="楷体" w:hAnsi="Times New Roman" w:cs="Times New Roman" w:hint="eastAsia"/>
          <w:sz w:val="32"/>
          <w:szCs w:val="32"/>
          <w:lang w:bidi="ar"/>
          <w14:ligatures w14:val="none"/>
        </w:rPr>
        <w:t>15</w:t>
      </w:r>
      <w:r>
        <w:rPr>
          <w:rFonts w:ascii="Times New Roman" w:eastAsia="楷体" w:hAnsi="Times New Roman" w:cs="Times New Roman" w:hint="eastAsia"/>
          <w:sz w:val="32"/>
          <w:szCs w:val="32"/>
          <w:lang w:bidi="ar"/>
          <w14:ligatures w14:val="none"/>
        </w:rPr>
        <w:t>分钟社区生活圈设施布局。</w:t>
      </w:r>
      <w:r>
        <w:rPr>
          <w:rFonts w:ascii="Calibri" w:eastAsia="仿宋_GB2312" w:hAnsi="Calibri" w:cs="Times New Roman" w:hint="eastAsia"/>
          <w:sz w:val="32"/>
          <w14:ligatures w14:val="none"/>
        </w:rPr>
        <w:t>按照“空间整合、用地混合、功能复合”的要</w:t>
      </w:r>
      <w:bookmarkStart w:id="96" w:name="_Hlk155876462"/>
      <w:r>
        <w:rPr>
          <w:rFonts w:ascii="Calibri" w:eastAsia="仿宋_GB2312" w:hAnsi="Calibri" w:cs="Times New Roman" w:hint="eastAsia"/>
          <w:sz w:val="32"/>
          <w14:ligatures w14:val="none"/>
        </w:rPr>
        <w:t>求，以公共活动中心统筹各级公共服务设施空间布局。</w:t>
      </w:r>
    </w:p>
    <w:p w14:paraId="30AE418A" w14:textId="22C7B2C9" w:rsidR="0062582F" w:rsidRDefault="00000000">
      <w:pPr>
        <w:spacing w:before="48" w:line="600" w:lineRule="exact"/>
        <w:ind w:firstLine="643"/>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优化工业用地空间布局。</w:t>
      </w:r>
      <w:r>
        <w:rPr>
          <w:rFonts w:ascii="Calibri" w:eastAsia="仿宋_GB2312" w:hAnsi="Calibri" w:cs="Times New Roman" w:hint="eastAsia"/>
          <w:sz w:val="32"/>
          <w14:ligatures w14:val="none"/>
        </w:rPr>
        <w:t>充分</w:t>
      </w:r>
      <w:r>
        <w:rPr>
          <w:rFonts w:ascii="Calibri" w:eastAsia="仿宋_GB2312" w:hAnsi="Calibri" w:cs="Times New Roman"/>
          <w:sz w:val="32"/>
          <w14:ligatures w14:val="none"/>
        </w:rPr>
        <w:t>保障先进制造业发展空间，</w:t>
      </w:r>
      <w:r>
        <w:rPr>
          <w:rFonts w:ascii="Calibri" w:eastAsia="仿宋_GB2312" w:hAnsi="Calibri" w:cs="Times New Roman" w:hint="eastAsia"/>
          <w:sz w:val="32"/>
          <w14:ligatures w14:val="none"/>
        </w:rPr>
        <w:t>以滨湖产业园区和东流工业集中区为重点，推动工业用地相对集聚布局，避免“工业围城”</w:t>
      </w:r>
      <w:r>
        <w:rPr>
          <w:rFonts w:ascii="Calibri" w:eastAsia="仿宋_GB2312" w:hAnsi="Calibri" w:cs="Times New Roman"/>
          <w:sz w:val="32"/>
          <w14:ligatures w14:val="none"/>
        </w:rPr>
        <w:t>。</w:t>
      </w:r>
    </w:p>
    <w:p w14:paraId="281526D9" w14:textId="76233CD8" w:rsidR="0062582F" w:rsidRDefault="00000000">
      <w:pPr>
        <w:spacing w:before="48" w:line="600" w:lineRule="exact"/>
        <w:ind w:firstLine="643"/>
        <w:rPr>
          <w:rFonts w:ascii="Calibri" w:eastAsia="仿宋_GB2312" w:hAnsi="Calibri" w:cs="Times New Roman"/>
          <w:sz w:val="32"/>
          <w:lang w:val="zh-CN"/>
          <w14:ligatures w14:val="none"/>
        </w:rPr>
      </w:pPr>
      <w:r>
        <w:rPr>
          <w:rFonts w:ascii="Times New Roman" w:eastAsia="楷体" w:hAnsi="Times New Roman" w:cs="Times New Roman" w:hint="eastAsia"/>
          <w:sz w:val="32"/>
          <w:szCs w:val="32"/>
          <w:lang w:bidi="ar"/>
          <w14:ligatures w14:val="none"/>
        </w:rPr>
        <w:t>构建“山水融城”的公园体系。</w:t>
      </w:r>
      <w:r>
        <w:rPr>
          <w:rFonts w:ascii="Calibri" w:eastAsia="仿宋_GB2312" w:hAnsi="Calibri" w:cs="Times New Roman" w:hint="eastAsia"/>
          <w:bCs/>
          <w:sz w:val="32"/>
          <w14:ligatures w14:val="none"/>
        </w:rPr>
        <w:t>按照“山水融城、显山透绿”的公园建设模式，打造</w:t>
      </w:r>
      <w:r>
        <w:rPr>
          <w:rFonts w:ascii="Calibri" w:eastAsia="仿宋_GB2312" w:hAnsi="Calibri" w:cs="Times New Roman"/>
          <w:bCs/>
          <w:sz w:val="32"/>
          <w14:ligatures w14:val="none"/>
        </w:rPr>
        <w:t>城市</w:t>
      </w:r>
      <w:r>
        <w:rPr>
          <w:rFonts w:ascii="Calibri" w:eastAsia="仿宋_GB2312" w:hAnsi="Calibri" w:cs="Times New Roman" w:hint="eastAsia"/>
          <w:bCs/>
          <w:sz w:val="32"/>
          <w14:ligatures w14:val="none"/>
        </w:rPr>
        <w:t>绿道</w:t>
      </w:r>
      <w:r>
        <w:rPr>
          <w:rFonts w:ascii="Calibri" w:eastAsia="仿宋_GB2312" w:hAnsi="Calibri" w:cs="Times New Roman"/>
          <w:bCs/>
          <w:sz w:val="32"/>
          <w14:ligatures w14:val="none"/>
        </w:rPr>
        <w:t>。通过整治河道、廊道连通、城市更新，进一步释放拓展公共空间，提升环境品质与城市功能。</w:t>
      </w:r>
    </w:p>
    <w:p w14:paraId="4E8012E5" w14:textId="40E21817" w:rsidR="0062582F" w:rsidRDefault="00000000">
      <w:pPr>
        <w:spacing w:line="600" w:lineRule="exact"/>
        <w:ind w:firstLineChars="200" w:firstLine="640"/>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完善城市内部道路系统。</w:t>
      </w:r>
      <w:r>
        <w:rPr>
          <w:rFonts w:ascii="Calibri" w:eastAsia="仿宋_GB2312" w:hAnsi="Calibri" w:cs="Times New Roman" w:hint="eastAsia"/>
          <w:sz w:val="32"/>
          <w14:ligatures w14:val="none"/>
        </w:rPr>
        <w:t>优化快速路路网结构，构建“三横一纵两联”的干线公路网。提升路网密度，构建级配合理的城市道路网络。</w:t>
      </w:r>
    </w:p>
    <w:p w14:paraId="2261C0A5" w14:textId="3CC2FA4E" w:rsidR="0062582F" w:rsidRDefault="00000000">
      <w:pPr>
        <w:spacing w:line="600" w:lineRule="exact"/>
        <w:ind w:firstLineChars="200" w:firstLine="640"/>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推进公共交通共享。</w:t>
      </w:r>
      <w:r>
        <w:rPr>
          <w:rFonts w:ascii="Calibri" w:eastAsia="仿宋_GB2312" w:hAnsi="Calibri" w:cs="Times New Roman" w:hint="eastAsia"/>
          <w:sz w:val="32"/>
          <w14:ligatures w14:val="none"/>
        </w:rPr>
        <w:t>优化公共交通站点布局，结合尧东一体化建设，加强舜城新区、菊城片区公交场站密度。</w:t>
      </w:r>
    </w:p>
    <w:p w14:paraId="1D90DC9D" w14:textId="77777777" w:rsidR="00004B9E" w:rsidRDefault="00000000" w:rsidP="00004B9E">
      <w:pPr>
        <w:spacing w:line="600" w:lineRule="exact"/>
        <w:ind w:firstLineChars="200" w:firstLine="640"/>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注重规划留白。</w:t>
      </w:r>
      <w:r>
        <w:rPr>
          <w:rFonts w:ascii="Calibri" w:eastAsia="仿宋_GB2312" w:hAnsi="Calibri" w:cs="Times New Roman" w:hint="eastAsia"/>
          <w:sz w:val="32"/>
          <w14:ligatures w14:val="none"/>
        </w:rPr>
        <w:t>提升空间布局包容性与韧性，在规划城乡建设用地范围内重点功能区及周边拓展地区、现状低效利用待转型区域以及城市发展重要节点区域，选择集中连片、具有一定规模的用地布局留白用地，为重大项目、重大基础设施和赛事</w:t>
      </w:r>
      <w:r>
        <w:rPr>
          <w:rFonts w:ascii="Calibri" w:eastAsia="仿宋_GB2312" w:hAnsi="Calibri" w:cs="Times New Roman" w:hint="eastAsia"/>
          <w:sz w:val="32"/>
          <w14:ligatures w14:val="none"/>
        </w:rPr>
        <w:lastRenderedPageBreak/>
        <w:t>活动等预留承载空间。</w:t>
      </w:r>
    </w:p>
    <w:p w14:paraId="69DF2122" w14:textId="27026AC3" w:rsidR="0062582F" w:rsidRPr="00004B9E" w:rsidRDefault="00000000" w:rsidP="00004B9E">
      <w:pPr>
        <w:spacing w:line="600" w:lineRule="exact"/>
        <w:ind w:firstLineChars="200" w:firstLine="640"/>
        <w:rPr>
          <w:rFonts w:ascii="Calibri" w:eastAsia="仿宋_GB2312" w:hAnsi="Calibri" w:cs="Times New Roman" w:hint="eastAsia"/>
          <w:sz w:val="32"/>
          <w14:ligatures w14:val="none"/>
        </w:rPr>
      </w:pPr>
      <w:r>
        <w:rPr>
          <w:rFonts w:ascii="Times New Roman" w:eastAsia="楷体" w:hAnsi="Times New Roman" w:cs="Times New Roman" w:hint="eastAsia"/>
          <w:sz w:val="32"/>
          <w:szCs w:val="32"/>
          <w:lang w:bidi="ar"/>
          <w14:ligatures w14:val="none"/>
        </w:rPr>
        <w:t>鼓励用地混合与用地兼容。</w:t>
      </w:r>
      <w:r>
        <w:rPr>
          <w:rFonts w:ascii="Calibri" w:eastAsia="仿宋_GB2312" w:hAnsi="Calibri" w:cs="Times New Roman" w:hint="eastAsia"/>
          <w:sz w:val="32"/>
          <w14:ligatures w14:val="none"/>
        </w:rPr>
        <w:t>鼓励位于城市中心地区的商务办公用地，与居住用地混合，促进城市职住平衡。在保障公共安全、保护环境等前提下，鼓励同一地块内工业、仓储、研发、办公、商服等用途互利的功能混合布置，允许工业用地兼容不超过地上建筑总量一定比例的其他生产服务用途和行政办公、生活服务设施。在符合国土空间规划和用途管制要求前提下，探索增加混合产业用地供给。</w:t>
      </w:r>
      <w:bookmarkEnd w:id="96"/>
    </w:p>
    <w:p w14:paraId="3006F70F" w14:textId="3337D771"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97" w:name="_Toc164695106"/>
      <w:r>
        <w:rPr>
          <w:rFonts w:ascii="黑体" w:eastAsia="黑体" w:hAnsi="黑体" w:cs="Times New Roman" w:hint="eastAsia"/>
          <w:b/>
          <w:bCs/>
          <w:sz w:val="32"/>
          <w:szCs w:val="32"/>
          <w14:ligatures w14:val="none"/>
        </w:rPr>
        <w:t>第</w:t>
      </w:r>
      <w:r w:rsidR="00004B9E">
        <w:rPr>
          <w:rFonts w:ascii="黑体" w:eastAsia="黑体" w:hAnsi="黑体" w:cs="Times New Roman" w:hint="eastAsia"/>
          <w:b/>
          <w:bCs/>
          <w:sz w:val="32"/>
          <w:szCs w:val="32"/>
          <w14:ligatures w14:val="none"/>
        </w:rPr>
        <w:t>四</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优化公共服务设施配置</w:t>
      </w:r>
      <w:bookmarkEnd w:id="97"/>
    </w:p>
    <w:p w14:paraId="1640CEE5" w14:textId="75047407" w:rsidR="0062582F" w:rsidRDefault="00000000">
      <w:pPr>
        <w:spacing w:line="600" w:lineRule="exact"/>
        <w:ind w:firstLineChars="200" w:firstLine="640"/>
        <w:rPr>
          <w:rFonts w:ascii="仿宋_GB2312"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建设公共服务中心体系。</w:t>
      </w:r>
      <w:r>
        <w:rPr>
          <w:rFonts w:ascii="仿宋_GB2312" w:eastAsia="仿宋_GB2312" w:hAnsi="Times New Roman" w:cs="Times New Roman" w:hint="eastAsia"/>
          <w:sz w:val="32"/>
          <w14:ligatures w14:val="none"/>
        </w:rPr>
        <w:t>依据中心城区功能布局引导形成县级、片区级和社区级公共服务中心。</w:t>
      </w:r>
    </w:p>
    <w:p w14:paraId="7FA234E6" w14:textId="46E41DF0" w:rsidR="0062582F" w:rsidRDefault="00000000">
      <w:pPr>
        <w:spacing w:before="48" w:line="600" w:lineRule="exact"/>
        <w:ind w:firstLine="641"/>
        <w:rPr>
          <w:rFonts w:ascii="Calibri" w:eastAsia="仿宋_GB2312" w:hAnsi="Calibri" w:cs="Times New Roman"/>
          <w:sz w:val="32"/>
          <w:u w:val="single"/>
          <w14:ligatures w14:val="none"/>
        </w:rPr>
      </w:pPr>
      <w:r>
        <w:rPr>
          <w:rFonts w:ascii="Times New Roman" w:eastAsia="楷体" w:hAnsi="Times New Roman" w:cs="Times New Roman" w:hint="eastAsia"/>
          <w:sz w:val="32"/>
          <w:szCs w:val="32"/>
          <w:lang w:bidi="ar"/>
          <w14:ligatures w14:val="none"/>
        </w:rPr>
        <w:t>保障教育设施供给。</w:t>
      </w:r>
      <w:r>
        <w:rPr>
          <w:rFonts w:ascii="Calibri" w:eastAsia="仿宋_GB2312" w:hAnsi="Calibri" w:cs="Times New Roman" w:hint="eastAsia"/>
          <w:sz w:val="32"/>
          <w14:ligatures w14:val="none"/>
        </w:rPr>
        <w:t>根据人口规模及分布情况，合理规划幼儿园布局，实现托幼一体，支撑学前教育普及普惠安全优质发展。</w:t>
      </w:r>
    </w:p>
    <w:p w14:paraId="0CD465BA" w14:textId="385D6185"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持续优化医疗设施布局。</w:t>
      </w:r>
      <w:r>
        <w:rPr>
          <w:rFonts w:ascii="Calibri" w:eastAsia="仿宋_GB2312" w:hAnsi="Calibri" w:cs="Times New Roman" w:hint="eastAsia"/>
          <w:sz w:val="32"/>
          <w14:ligatures w14:val="none"/>
        </w:rPr>
        <w:t>促进优质医疗资源扩容和区域均衡布局。积极保障县级公共卫生中心用地需求，增强城市韧性，提高城市应对重大公共卫生事件能力。</w:t>
      </w:r>
    </w:p>
    <w:p w14:paraId="4B4F41F3" w14:textId="2FE9CA17"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构建公共文化设施网络。</w:t>
      </w:r>
      <w:r>
        <w:rPr>
          <w:rFonts w:ascii="Calibri" w:eastAsia="仿宋_GB2312" w:hAnsi="Calibri" w:cs="Times New Roman" w:hint="eastAsia"/>
          <w:sz w:val="32"/>
          <w14:ligatures w14:val="none"/>
        </w:rPr>
        <w:t>优化重大公共文化设施布局</w:t>
      </w:r>
      <w:r w:rsidR="00004B9E">
        <w:rPr>
          <w:rFonts w:ascii="Calibri" w:eastAsia="仿宋_GB2312" w:hAnsi="Calibri" w:cs="Times New Roman" w:hint="eastAsia"/>
          <w:sz w:val="32"/>
          <w14:ligatures w14:val="none"/>
        </w:rPr>
        <w:t>，</w:t>
      </w:r>
      <w:r>
        <w:rPr>
          <w:rFonts w:ascii="Calibri" w:eastAsia="仿宋_GB2312" w:hAnsi="Calibri" w:cs="Times New Roman" w:hint="eastAsia"/>
          <w:sz w:val="32"/>
          <w14:ligatures w14:val="none"/>
        </w:rPr>
        <w:t>利用历史文化遗存和长江景观资源，布局彰显新时代城市形象的地标型文化设施、文化园、游园等，打造体现历史人文积淀和开明开放文化交融的文化空间。</w:t>
      </w:r>
    </w:p>
    <w:p w14:paraId="3AA1D5A7" w14:textId="47DFFE05"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lastRenderedPageBreak/>
        <w:t>优化公共体育设施布局。</w:t>
      </w:r>
      <w:r>
        <w:rPr>
          <w:rFonts w:ascii="Calibri" w:eastAsia="仿宋_GB2312" w:hAnsi="Calibri" w:cs="Times New Roman" w:hint="eastAsia"/>
          <w:sz w:val="32"/>
          <w14:ligatures w14:val="none"/>
        </w:rPr>
        <w:t>加快补齐全民健身设施短板，在人口稠密地区、大型居住区周边，加强全民健身场地设施用地保障。形成以县级全民健身中心为支撑，片区级全民健身中心为节点，街道级全民健身中心为补充的全民健身场地设施体系，支撑打造</w:t>
      </w:r>
      <w:r>
        <w:rPr>
          <w:rFonts w:ascii="Calibri" w:eastAsia="仿宋_GB2312" w:hAnsi="Calibri" w:cs="Times New Roman" w:hint="eastAsia"/>
          <w:sz w:val="32"/>
          <w14:ligatures w14:val="none"/>
        </w:rPr>
        <w:t>10</w:t>
      </w:r>
      <w:r>
        <w:rPr>
          <w:rFonts w:ascii="Calibri" w:eastAsia="仿宋_GB2312" w:hAnsi="Calibri" w:cs="Times New Roman" w:hint="eastAsia"/>
          <w:sz w:val="32"/>
          <w14:ligatures w14:val="none"/>
        </w:rPr>
        <w:t>分钟全民健身圈。</w:t>
      </w:r>
    </w:p>
    <w:p w14:paraId="6D8E415B" w14:textId="7720E293" w:rsidR="0062582F" w:rsidRDefault="00000000">
      <w:pPr>
        <w:spacing w:before="48" w:after="240" w:line="600" w:lineRule="exact"/>
        <w:ind w:firstLine="641"/>
        <w:rPr>
          <w:rFonts w:ascii="Calibri" w:eastAsia="仿宋_GB2312" w:hAnsi="Calibri" w:cs="Times New Roman"/>
          <w:bCs/>
          <w:sz w:val="32"/>
          <w:u w:val="single"/>
          <w14:ligatures w14:val="none"/>
        </w:rPr>
      </w:pPr>
      <w:r>
        <w:rPr>
          <w:rFonts w:ascii="Times New Roman" w:eastAsia="楷体" w:hAnsi="Times New Roman" w:cs="Times New Roman" w:hint="eastAsia"/>
          <w:sz w:val="32"/>
          <w:szCs w:val="32"/>
          <w:lang w:bidi="ar"/>
          <w14:ligatures w14:val="none"/>
        </w:rPr>
        <w:t>统筹社会福利设施布局。</w:t>
      </w:r>
      <w:r>
        <w:rPr>
          <w:rFonts w:ascii="Calibri" w:eastAsia="仿宋_GB2312" w:hAnsi="Calibri" w:cs="Times New Roman" w:hint="eastAsia"/>
          <w:bCs/>
          <w:sz w:val="32"/>
          <w14:ligatures w14:val="none"/>
        </w:rPr>
        <w:t>健全社会福利设施网络，统筹布局儿童福利、残疾人社会福利和其他社会福利设施。</w:t>
      </w:r>
    </w:p>
    <w:p w14:paraId="056E2A29" w14:textId="6AA8DC82"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98" w:name="_Toc164695107"/>
      <w:r>
        <w:rPr>
          <w:rFonts w:ascii="黑体" w:eastAsia="黑体" w:hAnsi="黑体" w:cs="Times New Roman" w:hint="eastAsia"/>
          <w:b/>
          <w:bCs/>
          <w:sz w:val="32"/>
          <w:szCs w:val="32"/>
          <w14:ligatures w14:val="none"/>
        </w:rPr>
        <w:t>第</w:t>
      </w:r>
      <w:r w:rsidR="00524D02">
        <w:rPr>
          <w:rFonts w:ascii="黑体" w:eastAsia="黑体" w:hAnsi="黑体" w:cs="Times New Roman" w:hint="eastAsia"/>
          <w:b/>
          <w:bCs/>
          <w:sz w:val="32"/>
          <w:szCs w:val="32"/>
          <w14:ligatures w14:val="none"/>
        </w:rPr>
        <w:t>五</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确定城市蓝绿网络和开敞空间</w:t>
      </w:r>
      <w:bookmarkEnd w:id="98"/>
    </w:p>
    <w:p w14:paraId="6E542229" w14:textId="34FC8D8C" w:rsidR="0062582F" w:rsidRDefault="00000000">
      <w:pPr>
        <w:spacing w:before="48" w:line="600" w:lineRule="exact"/>
        <w:ind w:firstLine="641"/>
        <w:rPr>
          <w:rFonts w:ascii="Calibri" w:eastAsia="仿宋_GB2312" w:hAnsi="Calibri" w:cs="Arial"/>
          <w:sz w:val="32"/>
          <w:shd w:val="clear" w:color="auto" w:fill="FFFFFF"/>
          <w14:ligatures w14:val="none"/>
        </w:rPr>
      </w:pPr>
      <w:r>
        <w:rPr>
          <w:rFonts w:ascii="Times New Roman" w:eastAsia="楷体" w:hAnsi="Times New Roman" w:cs="Times New Roman" w:hint="eastAsia"/>
          <w:sz w:val="32"/>
          <w:szCs w:val="32"/>
          <w:lang w:bidi="ar"/>
          <w14:ligatures w14:val="none"/>
        </w:rPr>
        <w:t>构建山水视线廊道体系。</w:t>
      </w:r>
      <w:r>
        <w:rPr>
          <w:rFonts w:ascii="Calibri" w:eastAsia="仿宋_GB2312" w:hAnsi="Calibri" w:cs="Arial"/>
          <w:sz w:val="32"/>
          <w:shd w:val="clear" w:color="auto" w:fill="FFFFFF"/>
          <w14:ligatures w14:val="none"/>
        </w:rPr>
        <w:t>构建展示</w:t>
      </w:r>
      <w:r>
        <w:rPr>
          <w:rFonts w:ascii="Calibri" w:eastAsia="仿宋_GB2312" w:hAnsi="Calibri" w:cs="Arial" w:hint="eastAsia"/>
          <w:sz w:val="32"/>
          <w:shd w:val="clear" w:color="auto" w:fill="FFFFFF"/>
          <w14:ligatures w14:val="none"/>
        </w:rPr>
        <w:t>东至</w:t>
      </w:r>
      <w:r>
        <w:rPr>
          <w:rFonts w:ascii="Calibri" w:eastAsia="仿宋_GB2312" w:hAnsi="Calibri" w:cs="Arial"/>
          <w:sz w:val="32"/>
          <w:shd w:val="clear" w:color="auto" w:fill="FFFFFF"/>
          <w14:ligatures w14:val="none"/>
        </w:rPr>
        <w:t>特色风貌的景观眺望系统</w:t>
      </w:r>
      <w:r>
        <w:rPr>
          <w:rFonts w:ascii="Calibri" w:eastAsia="仿宋_GB2312" w:hAnsi="Calibri" w:cs="Arial" w:hint="eastAsia"/>
          <w:sz w:val="32"/>
          <w:shd w:val="clear" w:color="auto" w:fill="FFFFFF"/>
          <w14:ligatures w14:val="none"/>
        </w:rPr>
        <w:t>，</w:t>
      </w:r>
      <w:r>
        <w:rPr>
          <w:rFonts w:ascii="Calibri" w:eastAsia="仿宋_GB2312" w:hAnsi="Calibri" w:cs="Arial"/>
          <w:sz w:val="32"/>
          <w:shd w:val="clear" w:color="auto" w:fill="FFFFFF"/>
          <w14:ligatures w14:val="none"/>
        </w:rPr>
        <w:t>形成</w:t>
      </w:r>
      <w:r>
        <w:rPr>
          <w:rFonts w:ascii="Calibri" w:eastAsia="仿宋_GB2312" w:hAnsi="Calibri" w:cs="Arial" w:hint="eastAsia"/>
          <w:sz w:val="32"/>
          <w:shd w:val="clear" w:color="auto" w:fill="FFFFFF"/>
          <w14:ligatures w14:val="none"/>
        </w:rPr>
        <w:t>望山、望水、望城</w:t>
      </w:r>
      <w:r>
        <w:rPr>
          <w:rFonts w:ascii="Calibri" w:eastAsia="仿宋_GB2312" w:hAnsi="Calibri" w:cs="Arial"/>
          <w:sz w:val="32"/>
          <w:shd w:val="clear" w:color="auto" w:fill="FFFFFF"/>
          <w14:ligatures w14:val="none"/>
        </w:rPr>
        <w:t>的视线廊道</w:t>
      </w:r>
      <w:r>
        <w:rPr>
          <w:rFonts w:ascii="Calibri" w:eastAsia="仿宋_GB2312" w:hAnsi="Calibri" w:cs="Arial" w:hint="eastAsia"/>
          <w:sz w:val="32"/>
          <w:shd w:val="clear" w:color="auto" w:fill="FFFFFF"/>
          <w14:ligatures w14:val="none"/>
        </w:rPr>
        <w:t>。</w:t>
      </w:r>
    </w:p>
    <w:p w14:paraId="2CAF72BC" w14:textId="7D31CB3B" w:rsidR="0062582F" w:rsidRDefault="00000000">
      <w:pPr>
        <w:spacing w:before="48" w:line="600" w:lineRule="exact"/>
        <w:ind w:firstLine="641"/>
        <w:rPr>
          <w:rFonts w:ascii="Calibri" w:eastAsia="仿宋_GB2312" w:hAnsi="Calibri" w:cs="Arial"/>
          <w:sz w:val="32"/>
          <w:shd w:val="clear" w:color="auto" w:fill="FFFFFF"/>
          <w14:ligatures w14:val="none"/>
        </w:rPr>
      </w:pPr>
      <w:r>
        <w:rPr>
          <w:rFonts w:ascii="Times New Roman" w:eastAsia="楷体" w:hAnsi="Times New Roman" w:cs="Times New Roman" w:hint="eastAsia"/>
          <w:sz w:val="32"/>
          <w:szCs w:val="32"/>
          <w:lang w:bidi="ar"/>
          <w14:ligatures w14:val="none"/>
        </w:rPr>
        <w:t>塑造舒缓通透的天际线形态。</w:t>
      </w:r>
      <w:r>
        <w:rPr>
          <w:rFonts w:ascii="Calibri" w:eastAsia="仿宋_GB2312" w:hAnsi="Calibri" w:cs="Arial" w:hint="eastAsia"/>
          <w:sz w:val="32"/>
          <w:shd w:val="clear" w:color="auto" w:fill="FFFFFF"/>
          <w14:ligatures w14:val="none"/>
        </w:rPr>
        <w:t>以城市公共活动中心为</w:t>
      </w:r>
      <w:r w:rsidR="004A0A6C">
        <w:rPr>
          <w:rFonts w:ascii="Calibri" w:eastAsia="仿宋_GB2312" w:hAnsi="Calibri" w:cs="Arial" w:hint="eastAsia"/>
          <w:sz w:val="32"/>
          <w:shd w:val="clear" w:color="auto" w:fill="FFFFFF"/>
          <w14:ligatures w14:val="none"/>
        </w:rPr>
        <w:t>核心</w:t>
      </w:r>
      <w:r>
        <w:rPr>
          <w:rFonts w:ascii="Calibri" w:eastAsia="仿宋_GB2312" w:hAnsi="Calibri" w:cs="Arial" w:hint="eastAsia"/>
          <w:sz w:val="32"/>
          <w:shd w:val="clear" w:color="auto" w:fill="FFFFFF"/>
          <w14:ligatures w14:val="none"/>
        </w:rPr>
        <w:t>强化天际线整体韵律感和层次感。构建“前景错落有致、中景平缓通透、远景山脉连绵”的空间形象。</w:t>
      </w:r>
    </w:p>
    <w:p w14:paraId="61D1693E" w14:textId="57CEF4E5"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强化宜人的滨水沿街空间界面。</w:t>
      </w:r>
      <w:r>
        <w:rPr>
          <w:rFonts w:ascii="Calibri" w:eastAsia="仿宋_GB2312" w:hAnsi="Calibri" w:cs="Times New Roman" w:hint="eastAsia"/>
          <w:sz w:val="32"/>
          <w14:ligatures w14:val="none"/>
        </w:rPr>
        <w:t>管控尧渡河等主要河道两岸空间尺度关系，</w:t>
      </w:r>
      <w:r>
        <w:rPr>
          <w:rFonts w:ascii="Calibri" w:eastAsia="仿宋_GB2312" w:hAnsi="Calibri" w:cs="Times New Roman"/>
          <w:sz w:val="32"/>
          <w14:ligatures w14:val="none"/>
        </w:rPr>
        <w:t>沿岸建筑界面及临岸天际线应避免封闭、呆板</w:t>
      </w:r>
      <w:r>
        <w:rPr>
          <w:rFonts w:ascii="Calibri" w:eastAsia="仿宋_GB2312" w:hAnsi="Calibri" w:cs="Times New Roman" w:hint="eastAsia"/>
          <w:sz w:val="32"/>
          <w14:ligatures w14:val="none"/>
        </w:rPr>
        <w:t>，营造慢行系统贯通、动静结合的活力空间。</w:t>
      </w:r>
    </w:p>
    <w:p w14:paraId="39BF4C49" w14:textId="53E0A09B"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99" w:name="_Toc164695108"/>
      <w:r>
        <w:rPr>
          <w:rFonts w:ascii="黑体" w:eastAsia="黑体" w:hAnsi="黑体" w:cs="Times New Roman" w:hint="eastAsia"/>
          <w:b/>
          <w:bCs/>
          <w:sz w:val="32"/>
          <w:szCs w:val="32"/>
          <w14:ligatures w14:val="none"/>
        </w:rPr>
        <w:t>第</w:t>
      </w:r>
      <w:r w:rsidR="00524D02">
        <w:rPr>
          <w:rFonts w:ascii="黑体" w:eastAsia="黑体" w:hAnsi="黑体" w:cs="Times New Roman" w:hint="eastAsia"/>
          <w:b/>
          <w:bCs/>
          <w:sz w:val="32"/>
          <w:szCs w:val="32"/>
          <w14:ligatures w14:val="none"/>
        </w:rPr>
        <w:t>六</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合理利用地下空间</w:t>
      </w:r>
      <w:bookmarkEnd w:id="99"/>
    </w:p>
    <w:p w14:paraId="7ADE6169" w14:textId="77777777"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优化地下空间利用重点区域布局。</w:t>
      </w:r>
      <w:r>
        <w:rPr>
          <w:rFonts w:ascii="Calibri" w:eastAsia="仿宋_GB2312" w:hAnsi="Calibri" w:cs="Times New Roman"/>
          <w:sz w:val="32"/>
          <w14:ligatures w14:val="none"/>
        </w:rPr>
        <w:t>以地下空间地质条件评估为基础，</w:t>
      </w:r>
      <w:r>
        <w:rPr>
          <w:rFonts w:ascii="Calibri" w:eastAsia="仿宋_GB2312" w:hAnsi="Calibri" w:cs="Times New Roman" w:hint="eastAsia"/>
          <w:sz w:val="32"/>
          <w14:ligatures w14:val="none"/>
        </w:rPr>
        <w:t>构建与城市空间功能布局相适应的地下空间布局。适当提高舜城新区、菊城片区等重点新建区域地下空间开发强</w:t>
      </w:r>
      <w:r>
        <w:rPr>
          <w:rFonts w:ascii="Calibri" w:eastAsia="仿宋_GB2312" w:hAnsi="Calibri" w:cs="Times New Roman" w:hint="eastAsia"/>
          <w:sz w:val="32"/>
          <w14:ligatures w14:val="none"/>
        </w:rPr>
        <w:lastRenderedPageBreak/>
        <w:t>度，注重一体化引导，</w:t>
      </w:r>
      <w:r>
        <w:rPr>
          <w:rFonts w:ascii="Calibri" w:eastAsia="仿宋_GB2312" w:hAnsi="Calibri" w:cs="Times New Roman"/>
          <w:sz w:val="32"/>
          <w14:ligatures w14:val="none"/>
        </w:rPr>
        <w:t>实现绿地、市政、商业</w:t>
      </w:r>
      <w:r>
        <w:rPr>
          <w:rFonts w:ascii="Calibri" w:eastAsia="仿宋_GB2312" w:hAnsi="Calibri" w:cs="Times New Roman" w:hint="eastAsia"/>
          <w:sz w:val="32"/>
          <w14:ligatures w14:val="none"/>
        </w:rPr>
        <w:t>、</w:t>
      </w:r>
      <w:r>
        <w:rPr>
          <w:rFonts w:ascii="Calibri" w:eastAsia="仿宋_GB2312" w:hAnsi="Calibri" w:cs="Times New Roman"/>
          <w:sz w:val="32"/>
          <w14:ligatures w14:val="none"/>
        </w:rPr>
        <w:t>综合防灾等设施的功能复合，</w:t>
      </w:r>
      <w:r>
        <w:rPr>
          <w:rFonts w:ascii="Calibri" w:eastAsia="仿宋_GB2312" w:hAnsi="Calibri" w:cs="Times New Roman" w:hint="eastAsia"/>
          <w:sz w:val="32"/>
          <w14:ligatures w14:val="none"/>
        </w:rPr>
        <w:t>实现</w:t>
      </w:r>
      <w:r>
        <w:rPr>
          <w:rFonts w:ascii="Calibri" w:eastAsia="仿宋_GB2312" w:hAnsi="Calibri" w:cs="Times New Roman"/>
          <w:sz w:val="32"/>
          <w14:ligatures w14:val="none"/>
        </w:rPr>
        <w:t>地下停车网络等互联互通</w:t>
      </w:r>
      <w:r>
        <w:rPr>
          <w:rFonts w:ascii="Calibri" w:eastAsia="仿宋_GB2312" w:hAnsi="Calibri" w:cs="Times New Roman" w:hint="eastAsia"/>
          <w:sz w:val="32"/>
          <w14:ligatures w14:val="none"/>
        </w:rPr>
        <w:t>；老城区及其他建成区域，根据实际情况，存量公共服务设施以原址扩建的方式利用地下空间，整合设施功能；一般开发地区，可围绕新建住宅小区适度建设社区文化、娱乐、体育健身等设施，弥补社区公共服务短板。</w:t>
      </w:r>
    </w:p>
    <w:p w14:paraId="404BF1A1" w14:textId="3995E882"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分层利用地下空间。</w:t>
      </w:r>
      <w:r>
        <w:rPr>
          <w:rFonts w:ascii="Calibri" w:eastAsia="仿宋_GB2312" w:hAnsi="Calibri" w:cs="Times New Roman" w:hint="eastAsia"/>
          <w:sz w:val="32"/>
          <w14:ligatures w14:val="none"/>
        </w:rPr>
        <w:t>合理利用地下空间，扩大城市空间容量，提高土地利用效率，增强城市综合防灾能力，构建综合型的地下空间系统及综合利用、平战结合、配套完善的人防体系。结合地面功能、地下空间需求及工程建设适宜性，形成功能适宜、布局合理的竖向结构。</w:t>
      </w:r>
    </w:p>
    <w:p w14:paraId="3C818A53" w14:textId="77777777" w:rsidR="0062582F" w:rsidRDefault="00000000">
      <w:pPr>
        <w:spacing w:before="48" w:line="600" w:lineRule="exact"/>
        <w:ind w:firstLine="641"/>
        <w:rPr>
          <w:rFonts w:ascii="Calibri" w:eastAsia="仿宋_GB2312" w:hAnsi="Calibri" w:cs="Times New Roman"/>
          <w:sz w:val="32"/>
          <w:szCs w:val="32"/>
          <w14:ligatures w14:val="none"/>
        </w:rPr>
      </w:pPr>
      <w:r>
        <w:rPr>
          <w:rFonts w:ascii="Times New Roman" w:eastAsia="楷体" w:hAnsi="Times New Roman" w:cs="Times New Roman" w:hint="eastAsia"/>
          <w:sz w:val="32"/>
          <w:szCs w:val="32"/>
          <w:lang w:bidi="ar"/>
          <w14:ligatures w14:val="none"/>
        </w:rPr>
        <w:t>促进地下空间综合开发。</w:t>
      </w:r>
      <w:r>
        <w:rPr>
          <w:rFonts w:ascii="Times New Roman" w:eastAsia="仿宋_GB2312" w:hAnsi="Times New Roman" w:cs="Times New Roman"/>
          <w:sz w:val="32"/>
          <w:lang w:bidi="ar"/>
          <w14:ligatures w14:val="none"/>
        </w:rPr>
        <w:t>开展以综合管廊为代表的各类地下市政设施建设，在满足设施功能布局、消防、人防、安全和环保的前提下，鼓励水质净化厂、雨水调蓄池、变电站、高压输电线、给排水泵站、数据中心、通信机房和垃圾转运站等设施采用地下建设模式，消除邻避效应，增加地上绿化空间，提升环境品质。</w:t>
      </w:r>
    </w:p>
    <w:p w14:paraId="50A46E04" w14:textId="6210F995"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100" w:name="_Toc164695109"/>
      <w:r>
        <w:rPr>
          <w:rFonts w:ascii="黑体" w:eastAsia="黑体" w:hAnsi="黑体" w:cs="Times New Roman" w:hint="eastAsia"/>
          <w:b/>
          <w:bCs/>
          <w:sz w:val="32"/>
          <w:szCs w:val="32"/>
          <w14:ligatures w14:val="none"/>
        </w:rPr>
        <w:t>第</w:t>
      </w:r>
      <w:r w:rsidR="00524D02">
        <w:rPr>
          <w:rFonts w:ascii="黑体" w:eastAsia="黑体" w:hAnsi="黑体" w:cs="Times New Roman" w:hint="eastAsia"/>
          <w:b/>
          <w:bCs/>
          <w:sz w:val="32"/>
          <w:szCs w:val="32"/>
          <w14:ligatures w14:val="none"/>
        </w:rPr>
        <w:t>七</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严格城市四线管控</w:t>
      </w:r>
      <w:bookmarkEnd w:id="100"/>
    </w:p>
    <w:p w14:paraId="4F1D5D74" w14:textId="6338EF64"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划定城市绿线并加强管控。</w:t>
      </w:r>
      <w:r w:rsidR="002F5B8C" w:rsidRPr="002F5B8C">
        <w:rPr>
          <w:rFonts w:ascii="Calibri" w:eastAsia="仿宋_GB2312" w:hAnsi="Calibri" w:cs="Times New Roman" w:hint="eastAsia"/>
          <w:sz w:val="32"/>
          <w14:ligatures w14:val="none"/>
        </w:rPr>
        <w:t>划定城市绿线</w:t>
      </w:r>
      <w:r w:rsidR="002F5B8C">
        <w:rPr>
          <w:rFonts w:ascii="Calibri" w:eastAsia="仿宋_GB2312" w:hAnsi="Calibri" w:cs="Times New Roman" w:hint="eastAsia"/>
          <w:sz w:val="32"/>
          <w14:ligatures w14:val="none"/>
        </w:rPr>
        <w:t>，</w:t>
      </w:r>
      <w:r>
        <w:rPr>
          <w:rFonts w:ascii="Calibri" w:eastAsia="仿宋_GB2312" w:hAnsi="Calibri" w:cs="Times New Roman"/>
          <w:sz w:val="32"/>
          <w14:ligatures w14:val="none"/>
        </w:rPr>
        <w:t>绿线内的用地，不得改作他用，不得违反法律法规、强制性标准以及批准的规划进行开发建设。</w:t>
      </w:r>
    </w:p>
    <w:p w14:paraId="0D63D762" w14:textId="77777777" w:rsidR="002F5B8C" w:rsidRDefault="00000000" w:rsidP="002F5B8C">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lastRenderedPageBreak/>
        <w:t>划定城市蓝线并加强管控。</w:t>
      </w:r>
      <w:r w:rsidR="002F5B8C">
        <w:rPr>
          <w:rFonts w:ascii="Calibri" w:eastAsia="仿宋_GB2312" w:hAnsi="Calibri" w:cs="Times New Roman" w:hint="eastAsia"/>
          <w:sz w:val="32"/>
          <w14:ligatures w14:val="none"/>
        </w:rPr>
        <w:t>划定城市蓝线，</w:t>
      </w:r>
      <w:r>
        <w:rPr>
          <w:rFonts w:ascii="Calibri" w:eastAsia="仿宋_GB2312" w:hAnsi="Calibri" w:cs="Times New Roman"/>
          <w:sz w:val="32"/>
          <w14:ligatures w14:val="none"/>
        </w:rPr>
        <w:t>城市蓝线一经批准，不得擅自调整。确实需要调整城市蓝线的，</w:t>
      </w:r>
      <w:r>
        <w:rPr>
          <w:rFonts w:ascii="Calibri" w:eastAsia="仿宋_GB2312" w:hAnsi="Calibri" w:cs="Times New Roman" w:hint="eastAsia"/>
          <w:sz w:val="32"/>
          <w14:ligatures w14:val="none"/>
        </w:rPr>
        <w:t>应依法</w:t>
      </w:r>
      <w:r>
        <w:rPr>
          <w:rFonts w:ascii="Calibri" w:eastAsia="仿宋_GB2312" w:hAnsi="Calibri" w:cs="Times New Roman"/>
          <w:sz w:val="32"/>
          <w14:ligatures w14:val="none"/>
        </w:rPr>
        <w:t>调整。</w:t>
      </w:r>
    </w:p>
    <w:p w14:paraId="4C67A82A" w14:textId="6E318E02" w:rsidR="0062582F" w:rsidRDefault="00000000" w:rsidP="002F5B8C">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划定城市黄线并加强管控。</w:t>
      </w:r>
      <w:r w:rsidRPr="002F5B8C">
        <w:rPr>
          <w:rFonts w:ascii="Calibri" w:eastAsia="仿宋_GB2312" w:hAnsi="Calibri" w:cs="Times New Roman" w:hint="eastAsia"/>
          <w:sz w:val="32"/>
          <w14:ligatures w14:val="none"/>
        </w:rPr>
        <w:t>划定城市黄线</w:t>
      </w:r>
      <w:r w:rsidR="002F5B8C">
        <w:rPr>
          <w:rFonts w:ascii="Calibri" w:eastAsia="仿宋_GB2312" w:hAnsi="Calibri" w:cs="Times New Roman" w:hint="eastAsia"/>
          <w:sz w:val="32"/>
          <w14:ligatures w14:val="none"/>
        </w:rPr>
        <w:t>，</w:t>
      </w:r>
      <w:r>
        <w:rPr>
          <w:rFonts w:ascii="Times New Roman" w:eastAsia="仿宋_GB2312" w:hAnsi="Times New Roman" w:cs="Times New Roman"/>
          <w:sz w:val="32"/>
          <w14:ligatures w14:val="none"/>
        </w:rPr>
        <w:t>主要包括供水厂、污水处理厂，再生水厂、变电站、供热站、天然气门站、垃圾处理设施和消防站等用地。其他城市基础设施黄线由专项规划和</w:t>
      </w:r>
      <w:r w:rsidR="002F5B8C">
        <w:rPr>
          <w:rFonts w:ascii="Times New Roman" w:eastAsia="仿宋_GB2312" w:hAnsi="Times New Roman" w:cs="Times New Roman" w:hint="eastAsia"/>
          <w:sz w:val="32"/>
          <w14:ligatures w14:val="none"/>
        </w:rPr>
        <w:t>详细</w:t>
      </w:r>
      <w:r>
        <w:rPr>
          <w:rFonts w:ascii="Times New Roman" w:eastAsia="仿宋_GB2312" w:hAnsi="Times New Roman" w:cs="Times New Roman"/>
          <w:sz w:val="32"/>
          <w14:ligatures w14:val="none"/>
        </w:rPr>
        <w:t>规划划定。</w:t>
      </w:r>
    </w:p>
    <w:p w14:paraId="0BB9F297" w14:textId="6C8B7C0E"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划定城市紫线并加强管控。</w:t>
      </w:r>
      <w:r w:rsidR="002F5B8C" w:rsidRPr="002F5B8C">
        <w:rPr>
          <w:rFonts w:ascii="Calibri" w:eastAsia="仿宋_GB2312" w:hAnsi="Calibri" w:cs="Times New Roman" w:hint="eastAsia"/>
          <w:sz w:val="32"/>
          <w14:ligatures w14:val="none"/>
        </w:rPr>
        <w:t>划定城市紫线，</w:t>
      </w:r>
      <w:r>
        <w:rPr>
          <w:rFonts w:ascii="Calibri" w:eastAsia="仿宋_GB2312" w:hAnsi="Calibri" w:cs="Times New Roman"/>
          <w:sz w:val="32"/>
          <w14:ligatures w14:val="none"/>
        </w:rPr>
        <w:t>包括历史文化街区的核心保护范围和建设控制地带、历史建筑的保护范围界线、文物保护单位保护范围。严禁违反规划或擅自调整规划在历史文化名城名镇名村相关区域建设高层建筑、大型雕塑等高大构筑物。</w:t>
      </w:r>
    </w:p>
    <w:p w14:paraId="0C52A758" w14:textId="7DFDD3B1"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101" w:name="_Toc164695110"/>
      <w:r>
        <w:rPr>
          <w:rFonts w:ascii="黑体" w:eastAsia="黑体" w:hAnsi="黑体" w:cs="Times New Roman" w:hint="eastAsia"/>
          <w:b/>
          <w:bCs/>
          <w:sz w:val="32"/>
          <w:szCs w:val="32"/>
          <w14:ligatures w14:val="none"/>
        </w:rPr>
        <w:t>第</w:t>
      </w:r>
      <w:r w:rsidR="00524D02">
        <w:rPr>
          <w:rFonts w:ascii="黑体" w:eastAsia="黑体" w:hAnsi="黑体" w:cs="Times New Roman" w:hint="eastAsia"/>
          <w:b/>
          <w:bCs/>
          <w:sz w:val="32"/>
          <w:szCs w:val="32"/>
          <w14:ligatures w14:val="none"/>
        </w:rPr>
        <w:t>八</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加强城市设计指引</w:t>
      </w:r>
      <w:bookmarkEnd w:id="101"/>
    </w:p>
    <w:p w14:paraId="59EA853A" w14:textId="77777777" w:rsidR="0062582F" w:rsidRDefault="00000000">
      <w:pPr>
        <w:spacing w:line="600" w:lineRule="exact"/>
        <w:ind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sz w:val="32"/>
          <w:szCs w:val="32"/>
          <w:lang w:bidi="ar"/>
          <w14:ligatures w14:val="none"/>
        </w:rPr>
        <w:t>塑造城市特色空间结构。</w:t>
      </w:r>
      <w:r>
        <w:rPr>
          <w:rFonts w:ascii="Times New Roman" w:eastAsia="仿宋_GB2312" w:hAnsi="Times New Roman" w:cs="Times New Roman"/>
          <w:sz w:val="32"/>
          <w:szCs w:val="32"/>
          <w:lang w:bidi="ar"/>
          <w14:ligatures w14:val="none"/>
        </w:rPr>
        <w:t>保护中心城区山水田城交融的自然格局，构建</w:t>
      </w:r>
      <w:r>
        <w:rPr>
          <w:rFonts w:ascii="Times New Roman" w:eastAsia="仿宋_GB2312" w:hAnsi="Times New Roman" w:cs="Times New Roman" w:hint="eastAsia"/>
          <w:sz w:val="32"/>
          <w:szCs w:val="32"/>
          <w:lang w:bidi="ar"/>
          <w14:ligatures w14:val="none"/>
        </w:rPr>
        <w:t>“</w:t>
      </w:r>
      <w:r>
        <w:rPr>
          <w:rFonts w:ascii="仿宋_GB2312" w:eastAsia="仿宋_GB2312" w:hAnsi="仿宋_GB2312" w:cs="Times New Roman" w:hint="eastAsia"/>
          <w:sz w:val="32"/>
          <w:szCs w:val="32"/>
          <w14:ligatures w14:val="none"/>
        </w:rPr>
        <w:t>一轴三区</w:t>
      </w:r>
      <w:r>
        <w:rPr>
          <w:rFonts w:ascii="Times New Roman" w:eastAsia="仿宋_GB2312" w:hAnsi="Times New Roman" w:cs="Times New Roman" w:hint="eastAsia"/>
          <w:sz w:val="32"/>
          <w:szCs w:val="32"/>
          <w:lang w:bidi="ar"/>
          <w14:ligatures w14:val="none"/>
        </w:rPr>
        <w:t>”</w:t>
      </w:r>
      <w:r>
        <w:rPr>
          <w:rFonts w:ascii="Times New Roman" w:eastAsia="仿宋_GB2312" w:hAnsi="Times New Roman" w:cs="Times New Roman"/>
          <w:sz w:val="32"/>
          <w:szCs w:val="32"/>
          <w:lang w:bidi="ar"/>
          <w14:ligatures w14:val="none"/>
        </w:rPr>
        <w:t>的总体城市设计空间结构。</w:t>
      </w:r>
    </w:p>
    <w:p w14:paraId="3DB949FF" w14:textId="77777777"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高品质塑造城市风貌格局。</w:t>
      </w:r>
      <w:r>
        <w:rPr>
          <w:rFonts w:ascii="Calibri" w:eastAsia="仿宋_GB2312" w:hAnsi="Calibri" w:cs="Times New Roman" w:hint="eastAsia"/>
          <w:sz w:val="32"/>
          <w14:ligatures w14:val="none"/>
        </w:rPr>
        <w:t>保护中心城区城市总体格局，展现尧舜魅力。强化自然水系、湖泊与城市布局形态的有机融合，修复河道、湿地、植被，恢复和提升自然生态系统的稳定性和生态服务功能，优化城市空间形态。保护重要生态廊道、关键节点等空间，加强对空间肌理、景观界面、建筑高度、风格色彩、环境要素等的统筹引导。</w:t>
      </w:r>
    </w:p>
    <w:p w14:paraId="0858812D" w14:textId="77777777"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lastRenderedPageBreak/>
        <w:t>划定特色风貌分区。</w:t>
      </w:r>
      <w:r>
        <w:rPr>
          <w:rFonts w:ascii="Calibri" w:eastAsia="仿宋_GB2312" w:hAnsi="Calibri" w:cs="Times New Roman" w:hint="eastAsia"/>
          <w:sz w:val="32"/>
          <w14:ligatures w14:val="none"/>
        </w:rPr>
        <w:t>建立层次清晰、显山露水的城市格局。划定尧城特色风貌区、舜城文教科研特色风貌区、菊邑文化特色风貌区、现代物流产业风貌区、高铁现代城市风貌区等</w:t>
      </w:r>
      <w:r>
        <w:rPr>
          <w:rFonts w:ascii="Calibri" w:eastAsia="仿宋_GB2312" w:hAnsi="Calibri" w:cs="Times New Roman" w:hint="eastAsia"/>
          <w:sz w:val="32"/>
          <w14:ligatures w14:val="none"/>
        </w:rPr>
        <w:t>5</w:t>
      </w:r>
      <w:r>
        <w:rPr>
          <w:rFonts w:ascii="Calibri" w:eastAsia="仿宋_GB2312" w:hAnsi="Calibri" w:cs="Times New Roman" w:hint="eastAsia"/>
          <w:sz w:val="32"/>
          <w14:ligatures w14:val="none"/>
        </w:rPr>
        <w:t>个风貌分区，凸显东至风貌特征。</w:t>
      </w:r>
    </w:p>
    <w:p w14:paraId="5E9C4F0E" w14:textId="3E2308B4" w:rsidR="0062582F" w:rsidRDefault="00000000">
      <w:pPr>
        <w:spacing w:before="48" w:line="600" w:lineRule="exact"/>
        <w:ind w:firstLineChars="200" w:firstLine="640"/>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控制城市天际线。</w:t>
      </w:r>
      <w:r>
        <w:rPr>
          <w:rFonts w:ascii="Calibri" w:eastAsia="仿宋_GB2312" w:hAnsi="Calibri" w:cs="Times New Roman" w:hint="eastAsia"/>
          <w:sz w:val="32"/>
          <w14:ligatures w14:val="none"/>
        </w:rPr>
        <w:t>保护东至县中心城区显山露水的城市景观特征，保护老城区平缓有序的城市天际线，严格控制老城区建筑高度和体量，维护自然环境与城市风貌相互交融的风貌完整性。</w:t>
      </w:r>
    </w:p>
    <w:p w14:paraId="2D91C326" w14:textId="77777777" w:rsidR="0062582F" w:rsidRDefault="00000000">
      <w:pPr>
        <w:spacing w:before="48" w:line="600" w:lineRule="exact"/>
        <w:ind w:firstLine="643"/>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加强建筑高度管控。</w:t>
      </w:r>
      <w:r>
        <w:rPr>
          <w:rFonts w:ascii="Calibri" w:eastAsia="仿宋_GB2312" w:hAnsi="Calibri" w:cs="Times New Roman" w:hint="eastAsia"/>
          <w:sz w:val="32"/>
          <w14:ligatures w14:val="none"/>
        </w:rPr>
        <w:t>严格限制超高层建筑，塑造轮廓舒展、韵律起伏的城市天际线。严格控制生态敏感、自然景观等重点地段的高层建筑建设，严格限制历史文物保护单位周边新建高层建筑，严格控制老城旧城开发强度较高、人口密集、交通拥堵地段新建超高层建筑，严格控制在城市景观廊道上新建高层建筑群。</w:t>
      </w:r>
    </w:p>
    <w:p w14:paraId="4BF85455" w14:textId="1D80C18B" w:rsidR="0062582F" w:rsidRDefault="00000000" w:rsidP="002F5B8C">
      <w:pPr>
        <w:spacing w:before="48" w:line="600" w:lineRule="exact"/>
        <w:ind w:firstLine="643"/>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实施开发强度分区管控。</w:t>
      </w:r>
      <w:r w:rsidR="002F5B8C" w:rsidRPr="002F5B8C">
        <w:rPr>
          <w:rFonts w:ascii="Calibri" w:eastAsia="仿宋_GB2312" w:hAnsi="Calibri" w:cs="Times New Roman" w:hint="eastAsia"/>
          <w:sz w:val="32"/>
          <w14:ligatures w14:val="none"/>
        </w:rPr>
        <w:t>结合</w:t>
      </w:r>
      <w:r w:rsidR="002F5B8C" w:rsidRPr="002F5B8C">
        <w:rPr>
          <w:rFonts w:ascii="Calibri" w:eastAsia="仿宋_GB2312" w:hAnsi="Calibri" w:cs="Times New Roman" w:hint="eastAsia"/>
          <w:sz w:val="32"/>
          <w14:ligatures w14:val="none"/>
        </w:rPr>
        <w:t>东至县</w:t>
      </w:r>
      <w:r w:rsidR="002F5B8C" w:rsidRPr="002F5B8C">
        <w:rPr>
          <w:rFonts w:ascii="Calibri" w:eastAsia="仿宋_GB2312" w:hAnsi="Calibri" w:cs="Times New Roman" w:hint="eastAsia"/>
          <w:sz w:val="32"/>
          <w14:ligatures w14:val="none"/>
        </w:rPr>
        <w:t>现状建设及</w:t>
      </w:r>
      <w:r w:rsidR="002F5B8C" w:rsidRPr="002F5B8C">
        <w:rPr>
          <w:rFonts w:ascii="Calibri" w:eastAsia="仿宋_GB2312" w:hAnsi="Calibri" w:cs="Times New Roman" w:hint="eastAsia"/>
          <w:sz w:val="32"/>
          <w14:ligatures w14:val="none"/>
        </w:rPr>
        <w:t>城市发展，</w:t>
      </w:r>
      <w:r w:rsidR="002F5B8C" w:rsidRPr="002F5B8C">
        <w:rPr>
          <w:rFonts w:ascii="Calibri" w:eastAsia="仿宋_GB2312" w:hAnsi="Calibri" w:cs="Times New Roman" w:hint="eastAsia"/>
          <w:sz w:val="32"/>
          <w14:ligatures w14:val="none"/>
        </w:rPr>
        <w:t>在城镇开发边界内共划定三级开发强度管控区，实施开发强度分区管控。</w:t>
      </w:r>
    </w:p>
    <w:p w14:paraId="7A8F2BA0" w14:textId="77777777" w:rsidR="0062582F" w:rsidRDefault="00000000">
      <w:pPr>
        <w:widowControl/>
        <w:spacing w:line="600" w:lineRule="exact"/>
        <w:ind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hint="eastAsia"/>
          <w:sz w:val="32"/>
          <w:szCs w:val="32"/>
          <w:lang w:bidi="ar"/>
          <w14:ligatures w14:val="none"/>
        </w:rPr>
        <w:t>突出重点地区空间管控</w:t>
      </w:r>
      <w:r>
        <w:rPr>
          <w:rFonts w:ascii="Times New Roman" w:eastAsia="仿宋_GB2312" w:hAnsi="Times New Roman" w:cs="Times New Roman" w:hint="eastAsia"/>
          <w:sz w:val="32"/>
          <w:szCs w:val="32"/>
          <w:lang w:bidi="ar"/>
          <w14:ligatures w14:val="none"/>
        </w:rPr>
        <w:t>。划定</w:t>
      </w:r>
      <w:r>
        <w:rPr>
          <w:rFonts w:ascii="Times New Roman" w:eastAsia="仿宋_GB2312" w:hAnsi="Times New Roman" w:cs="Times New Roman"/>
          <w:sz w:val="32"/>
          <w:szCs w:val="32"/>
          <w:lang w:bidi="ar"/>
          <w14:ligatures w14:val="none"/>
        </w:rPr>
        <w:t>5</w:t>
      </w:r>
      <w:r>
        <w:rPr>
          <w:rFonts w:ascii="Times New Roman" w:eastAsia="仿宋_GB2312" w:hAnsi="Times New Roman" w:cs="Times New Roman" w:hint="eastAsia"/>
          <w:sz w:val="32"/>
          <w:szCs w:val="32"/>
          <w:lang w:bidi="ar"/>
          <w14:ligatures w14:val="none"/>
        </w:rPr>
        <w:t>个城市设计重点片区，包括尧渡老街历史文化片区、东流历史文化名镇片区、高铁站片区、舜城新区环湖片区、沿江片区。凝聚城市片区风貌特征，构建重点管控分区特色的城市意向特征。</w:t>
      </w:r>
    </w:p>
    <w:p w14:paraId="618992CF" w14:textId="15FE2DC4" w:rsidR="0062582F" w:rsidRDefault="00000000">
      <w:pPr>
        <w:keepNext/>
        <w:keepLines/>
        <w:spacing w:before="260" w:after="100" w:afterAutospacing="1" w:line="600" w:lineRule="exact"/>
        <w:jc w:val="center"/>
        <w:outlineLvl w:val="1"/>
        <w:rPr>
          <w:rFonts w:ascii="黑体" w:eastAsia="黑体" w:hAnsi="黑体" w:cs="Times New Roman" w:hint="eastAsia"/>
          <w:b/>
          <w:bCs/>
          <w:sz w:val="32"/>
          <w:szCs w:val="32"/>
          <w14:ligatures w14:val="none"/>
        </w:rPr>
      </w:pPr>
      <w:bookmarkStart w:id="102" w:name="_Toc164695111"/>
      <w:r>
        <w:rPr>
          <w:rFonts w:ascii="黑体" w:eastAsia="黑体" w:hAnsi="黑体" w:cs="Times New Roman" w:hint="eastAsia"/>
          <w:b/>
          <w:bCs/>
          <w:sz w:val="32"/>
          <w:szCs w:val="32"/>
          <w14:ligatures w14:val="none"/>
        </w:rPr>
        <w:lastRenderedPageBreak/>
        <w:t>第</w:t>
      </w:r>
      <w:r w:rsidR="00524D02">
        <w:rPr>
          <w:rFonts w:ascii="黑体" w:eastAsia="黑体" w:hAnsi="黑体" w:cs="Times New Roman" w:hint="eastAsia"/>
          <w:b/>
          <w:bCs/>
          <w:sz w:val="32"/>
          <w:szCs w:val="32"/>
          <w14:ligatures w14:val="none"/>
        </w:rPr>
        <w:t>九</w:t>
      </w:r>
      <w:r>
        <w:rPr>
          <w:rFonts w:ascii="黑体" w:eastAsia="黑体" w:hAnsi="黑体" w:cs="Times New Roman" w:hint="eastAsia"/>
          <w:b/>
          <w:bCs/>
          <w:sz w:val="32"/>
          <w:szCs w:val="32"/>
          <w14:ligatures w14:val="none"/>
        </w:rPr>
        <w:t>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推动城市更新</w:t>
      </w:r>
      <w:bookmarkEnd w:id="102"/>
    </w:p>
    <w:p w14:paraId="75D1E870" w14:textId="00FCE965" w:rsidR="0062582F" w:rsidRDefault="00000000">
      <w:pPr>
        <w:widowControl/>
        <w:spacing w:before="48" w:line="600" w:lineRule="exact"/>
        <w:ind w:firstLine="641"/>
        <w:rPr>
          <w:rFonts w:ascii="Times New Roman" w:eastAsia="仿宋_GB2312" w:hAnsi="Times New Roman" w:cs="Times New Roman"/>
          <w:sz w:val="32"/>
          <w:lang w:bidi="ar"/>
          <w14:ligatures w14:val="none"/>
        </w:rPr>
      </w:pPr>
      <w:r>
        <w:rPr>
          <w:rFonts w:ascii="Times New Roman" w:eastAsia="楷体" w:hAnsi="Times New Roman" w:cs="Times New Roman" w:hint="eastAsia"/>
          <w:sz w:val="32"/>
          <w:szCs w:val="32"/>
          <w:lang w:bidi="ar"/>
          <w14:ligatures w14:val="none"/>
        </w:rPr>
        <w:t>划定城市更新片区。</w:t>
      </w:r>
      <w:r>
        <w:rPr>
          <w:rFonts w:ascii="Times New Roman" w:eastAsia="仿宋_GB2312" w:hAnsi="Times New Roman" w:cs="Times New Roman" w:hint="eastAsia"/>
          <w:sz w:val="32"/>
          <w:lang w:bidi="ar"/>
          <w14:ligatures w14:val="none"/>
        </w:rPr>
        <w:t>结合自然地理要素、主干路网，生活圈布局，中心城区共划分</w:t>
      </w:r>
      <w:r>
        <w:rPr>
          <w:rFonts w:ascii="Times New Roman" w:eastAsia="仿宋_GB2312" w:hAnsi="Times New Roman" w:cs="Times New Roman"/>
          <w:sz w:val="32"/>
          <w:lang w:bidi="ar"/>
          <w14:ligatures w14:val="none"/>
        </w:rPr>
        <w:t>3</w:t>
      </w:r>
      <w:r>
        <w:rPr>
          <w:rFonts w:ascii="Times New Roman" w:eastAsia="仿宋_GB2312" w:hAnsi="Times New Roman" w:cs="Times New Roman" w:hint="eastAsia"/>
          <w:sz w:val="32"/>
          <w:lang w:bidi="ar"/>
          <w14:ligatures w14:val="none"/>
        </w:rPr>
        <w:t>个城市更新单元。</w:t>
      </w:r>
    </w:p>
    <w:p w14:paraId="10CEF758" w14:textId="49B69E2C" w:rsidR="0062582F" w:rsidRDefault="00000000">
      <w:pPr>
        <w:spacing w:before="48"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分类推进老城区有机更新。</w:t>
      </w:r>
      <w:r>
        <w:rPr>
          <w:rFonts w:ascii="Calibri" w:eastAsia="仿宋_GB2312" w:hAnsi="Calibri" w:cs="Times New Roman" w:hint="eastAsia"/>
          <w:sz w:val="32"/>
          <w14:ligatures w14:val="none"/>
        </w:rPr>
        <w:t>提倡有机更新，稳步推进旧住区、旧厂区和旧村庄的逐步更新，促进老城区活化利用，逐步实现城市空间布局优化、产业转型升级、居住环境和条件改善，提升公共配套水平，提供基础系统支撑能力与城市安全保障能力。</w:t>
      </w:r>
    </w:p>
    <w:p w14:paraId="221F3CAD"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r>
        <w:rPr>
          <w:rFonts w:ascii="Times New Roman" w:eastAsia="仿宋_GB2312" w:hAnsi="Times New Roman" w:cs="Times New Roman"/>
          <w:b/>
          <w:bCs/>
          <w:kern w:val="44"/>
          <w:sz w:val="44"/>
          <w:szCs w:val="44"/>
          <w14:ligatures w14:val="none"/>
        </w:rPr>
        <w:br w:type="page"/>
      </w:r>
      <w:bookmarkStart w:id="103" w:name="_Toc164695112"/>
      <w:r>
        <w:rPr>
          <w:rFonts w:ascii="方正小标宋简体" w:eastAsia="方正小标宋简体" w:hAnsi="Times New Roman" w:cs="Times New Roman" w:hint="eastAsia"/>
          <w:b/>
          <w:bCs/>
          <w:kern w:val="44"/>
          <w:sz w:val="44"/>
          <w:szCs w:val="44"/>
          <w14:ligatures w14:val="none"/>
        </w:rPr>
        <w:lastRenderedPageBreak/>
        <w:t>第八章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保护文化与彰显魅力，传承尧舜之乡文脉</w:t>
      </w:r>
      <w:bookmarkEnd w:id="103"/>
    </w:p>
    <w:p w14:paraId="236786DA" w14:textId="77777777" w:rsidR="0062582F" w:rsidRDefault="00000000">
      <w:pPr>
        <w:widowControl/>
        <w:spacing w:beforeLines="100" w:before="312" w:afterLines="100" w:after="312" w:line="600" w:lineRule="exact"/>
        <w:ind w:firstLine="641"/>
        <w:rPr>
          <w:rFonts w:ascii="Calibri" w:eastAsia="仿宋_GB2312" w:hAnsi="Calibri" w:cs="Times New Roman"/>
          <w:sz w:val="32"/>
          <w14:ligatures w14:val="none"/>
        </w:rPr>
      </w:pPr>
      <w:r>
        <w:rPr>
          <w:rFonts w:ascii="Calibri" w:eastAsia="仿宋_GB2312" w:hAnsi="Calibri" w:cs="Times New Roman" w:hint="eastAsia"/>
          <w:sz w:val="32"/>
          <w14:ligatures w14:val="none"/>
        </w:rPr>
        <w:t>加强东至县自然和历史文化遗产空间保护，促进自然和历史文化遗产活化利用，推进文旅融合，</w:t>
      </w:r>
      <w:bookmarkStart w:id="104" w:name="_Hlk165909425"/>
      <w:r>
        <w:rPr>
          <w:rFonts w:ascii="Calibri" w:eastAsia="仿宋_GB2312" w:hAnsi="Calibri" w:cs="Times New Roman" w:hint="eastAsia"/>
          <w:sz w:val="32"/>
          <w14:ligatures w14:val="none"/>
        </w:rPr>
        <w:t>彰显尧舜之乡国土空间特色，支撑建设长三角重要文化旅游目的地，体闲康养基地</w:t>
      </w:r>
      <w:bookmarkEnd w:id="104"/>
      <w:r>
        <w:rPr>
          <w:rFonts w:ascii="Calibri" w:eastAsia="仿宋_GB2312" w:hAnsi="Calibri" w:cs="Times New Roman" w:hint="eastAsia"/>
          <w:sz w:val="32"/>
          <w14:ligatures w14:val="none"/>
        </w:rPr>
        <w:t>。</w:t>
      </w:r>
    </w:p>
    <w:p w14:paraId="55AD100B"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05" w:name="_Toc164695113"/>
      <w:r>
        <w:rPr>
          <w:rFonts w:ascii="黑体" w:eastAsia="黑体" w:hAnsi="黑体" w:cs="Times New Roman" w:hint="eastAsia"/>
          <w:b/>
          <w:bCs/>
          <w:sz w:val="32"/>
          <w:szCs w:val="32"/>
          <w14:ligatures w14:val="none"/>
        </w:rPr>
        <w:t>第一节 保护历史文化资源</w:t>
      </w:r>
      <w:bookmarkEnd w:id="105"/>
    </w:p>
    <w:p w14:paraId="6B4D4E56" w14:textId="77777777" w:rsidR="0062582F" w:rsidRDefault="00000000">
      <w:pPr>
        <w:widowControl/>
        <w:shd w:val="clear" w:color="auto" w:fill="FFFFFF"/>
        <w:spacing w:before="100" w:beforeAutospacing="1" w:after="100" w:afterAutospacing="1" w:line="600" w:lineRule="exact"/>
        <w:ind w:firstLine="720"/>
        <w:jc w:val="left"/>
        <w:rPr>
          <w:rFonts w:ascii="Times New Roman" w:eastAsia="仿宋_GB2312" w:hAnsi="Times New Roman" w:cs="Times New Roman"/>
          <w:b/>
          <w:bCs/>
          <w:i/>
          <w:iCs/>
          <w:color w:val="FF0000"/>
          <w:sz w:val="32"/>
          <w14:ligatures w14:val="none"/>
        </w:rPr>
      </w:pPr>
      <w:r>
        <w:rPr>
          <w:rFonts w:ascii="Times New Roman" w:eastAsia="楷体" w:hAnsi="Times New Roman" w:cs="Times New Roman" w:hint="eastAsia"/>
          <w:sz w:val="32"/>
          <w:szCs w:val="32"/>
          <w:lang w:bidi="ar"/>
          <w14:ligatures w14:val="none"/>
        </w:rPr>
        <w:t>构建自然与历史文化资源保护空间体系。</w:t>
      </w:r>
      <w:r>
        <w:rPr>
          <w:rFonts w:ascii="Times New Roman" w:eastAsia="仿宋_GB2312" w:hAnsi="Times New Roman" w:cs="宋体" w:hint="eastAsia"/>
          <w:kern w:val="0"/>
          <w:sz w:val="32"/>
          <w:szCs w:val="24"/>
          <w14:ligatures w14:val="none"/>
        </w:rPr>
        <w:t>构建“一镇、三街、多点”的历史文化资源空间结构，夯实文化遗产保护空间基础</w:t>
      </w:r>
      <w:r>
        <w:rPr>
          <w:rFonts w:ascii="Times New Roman" w:eastAsia="仿宋_GB2312" w:hAnsi="Times New Roman" w:cs="宋体" w:hint="eastAsia"/>
          <w:kern w:val="0"/>
          <w:sz w:val="32"/>
          <w:szCs w:val="24"/>
          <w:lang w:bidi="ar"/>
          <w14:ligatures w14:val="none"/>
        </w:rPr>
        <w:t>。</w:t>
      </w:r>
    </w:p>
    <w:p w14:paraId="677DC762" w14:textId="688C1103" w:rsidR="0062582F" w:rsidRDefault="00000000">
      <w:pPr>
        <w:widowControl/>
        <w:spacing w:line="600" w:lineRule="exact"/>
        <w:ind w:firstLine="640"/>
        <w:rPr>
          <w:rFonts w:ascii="Calibri" w:eastAsia="仿宋_GB2312" w:hAnsi="Calibri" w:cs="Times New Roman"/>
          <w:sz w:val="32"/>
          <w14:ligatures w14:val="none"/>
        </w:rPr>
      </w:pPr>
      <w:r>
        <w:rPr>
          <w:rFonts w:ascii="Calibri" w:eastAsia="楷体" w:hAnsi="Calibri" w:cs="Times New Roman"/>
          <w:sz w:val="32"/>
          <w14:ligatures w14:val="none"/>
        </w:rPr>
        <w:t>科学划定历史文化保护线。</w:t>
      </w:r>
      <w:r w:rsidRPr="00E67BFC">
        <w:rPr>
          <w:rFonts w:ascii="Calibri" w:eastAsia="仿宋_GB2312" w:hAnsi="Calibri" w:cs="Times New Roman"/>
          <w:sz w:val="32"/>
          <w14:ligatures w14:val="none"/>
        </w:rPr>
        <w:t>统筹划定包括文物保护单位保护范围和建设控制地带、地下文物埋藏区、不可移动文物、城市紫线等在内的历史文化保护线，并纳入国土空间规划</w:t>
      </w:r>
      <w:r w:rsidRPr="00E67BFC">
        <w:rPr>
          <w:rFonts w:ascii="Calibri" w:eastAsia="仿宋_GB2312" w:hAnsi="Calibri" w:cs="Times New Roman" w:hint="eastAsia"/>
          <w:sz w:val="32"/>
          <w14:ligatures w14:val="none"/>
        </w:rPr>
        <w:t>“</w:t>
      </w:r>
      <w:r w:rsidRPr="00E67BFC">
        <w:rPr>
          <w:rFonts w:ascii="Calibri" w:eastAsia="仿宋_GB2312" w:hAnsi="Calibri" w:cs="Times New Roman"/>
          <w:sz w:val="32"/>
          <w14:ligatures w14:val="none"/>
        </w:rPr>
        <w:t>一张图</w:t>
      </w:r>
      <w:r w:rsidRPr="00E67BFC">
        <w:rPr>
          <w:rFonts w:ascii="Calibri" w:eastAsia="仿宋_GB2312" w:hAnsi="Calibri" w:cs="Times New Roman" w:hint="eastAsia"/>
          <w:sz w:val="32"/>
          <w14:ligatures w14:val="none"/>
        </w:rPr>
        <w:t>”</w:t>
      </w:r>
      <w:r w:rsidRPr="00E67BFC">
        <w:rPr>
          <w:rFonts w:ascii="Calibri" w:eastAsia="仿宋_GB2312" w:hAnsi="Calibri" w:cs="Times New Roman"/>
          <w:sz w:val="32"/>
          <w14:ligatures w14:val="none"/>
        </w:rPr>
        <w:t>，实施严格保护。</w:t>
      </w:r>
    </w:p>
    <w:p w14:paraId="06B77C6D" w14:textId="19F5418B"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r>
        <w:rPr>
          <w:rFonts w:ascii="Times New Roman" w:eastAsia="楷体" w:hAnsi="Times New Roman" w:cs="Times New Roman" w:hint="eastAsia"/>
          <w:sz w:val="32"/>
          <w:szCs w:val="32"/>
          <w:lang w:bidi="ar"/>
          <w14:ligatures w14:val="none"/>
        </w:rPr>
        <w:t>加强非物质文化遗产保护。</w:t>
      </w:r>
      <w:r>
        <w:rPr>
          <w:rFonts w:ascii="仿宋_GB2312" w:eastAsia="仿宋_GB2312" w:hAnsi="仿宋_GB2312" w:cs="Times New Roman" w:hint="eastAsia"/>
          <w:sz w:val="32"/>
          <w:szCs w:val="32"/>
          <w14:ligatures w14:val="none"/>
        </w:rPr>
        <w:t>加强对非物质文化遗产的传承与保护，对非物质文化遗产代表性项目集中、特色鲜明、形式和内涵保持完整的特定区域，实行区域性整体保护。</w:t>
      </w:r>
    </w:p>
    <w:p w14:paraId="482D1D04"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06" w:name="_Toc164695114"/>
      <w:r>
        <w:rPr>
          <w:rFonts w:ascii="黑体" w:eastAsia="黑体" w:hAnsi="黑体" w:cs="Times New Roman" w:hint="eastAsia"/>
          <w:b/>
          <w:bCs/>
          <w:sz w:val="32"/>
          <w:szCs w:val="32"/>
          <w14:ligatures w14:val="none"/>
        </w:rPr>
        <w:lastRenderedPageBreak/>
        <w:t>第二节 构建文旅融合的魅力空间</w:t>
      </w:r>
      <w:bookmarkEnd w:id="106"/>
    </w:p>
    <w:p w14:paraId="05BEFDDF" w14:textId="77777777" w:rsidR="0062582F" w:rsidRDefault="00000000">
      <w:pPr>
        <w:widowControl/>
        <w:shd w:val="clear" w:color="auto" w:fill="FFFFFF"/>
        <w:spacing w:line="600" w:lineRule="exact"/>
        <w:ind w:firstLineChars="200" w:firstLine="640"/>
        <w:rPr>
          <w:rFonts w:ascii="Times New Roman" w:eastAsia="仿宋_GB2312" w:hAnsi="Times New Roman" w:cs="Times New Roman"/>
          <w:b/>
          <w:bCs/>
          <w:i/>
          <w:iCs/>
          <w:color w:val="FF0000"/>
          <w:sz w:val="32"/>
          <w14:ligatures w14:val="none"/>
        </w:rPr>
      </w:pPr>
      <w:r>
        <w:rPr>
          <w:rFonts w:ascii="Times New Roman" w:eastAsia="楷体" w:hAnsi="Times New Roman" w:cs="Times New Roman" w:hint="eastAsia"/>
          <w:sz w:val="32"/>
          <w:szCs w:val="32"/>
          <w:lang w:bidi="ar"/>
          <w14:ligatures w14:val="none"/>
        </w:rPr>
        <w:t>构建“三片双廊多点”的国土空间魅力格局。</w:t>
      </w:r>
      <w:bookmarkStart w:id="107" w:name="_Hlk165909504"/>
      <w:r>
        <w:rPr>
          <w:rFonts w:ascii="Times New Roman" w:eastAsia="仿宋_GB2312" w:hAnsi="Times New Roman" w:cs="Times New Roman" w:hint="eastAsia"/>
          <w:sz w:val="32"/>
          <w14:ligatures w14:val="none"/>
        </w:rPr>
        <w:t>优化升级魅力资源密集区，重视发展魅力资源拓展区，保护重要生态廊道、关键节点等空间</w:t>
      </w:r>
      <w:bookmarkEnd w:id="107"/>
      <w:r>
        <w:rPr>
          <w:rFonts w:ascii="Times New Roman" w:eastAsia="仿宋_GB2312" w:hAnsi="Times New Roman" w:cs="Times New Roman" w:hint="eastAsia"/>
          <w:sz w:val="32"/>
          <w14:ligatures w14:val="none"/>
        </w:rPr>
        <w:t>，加强对空间肌理、景观界面、建筑高度、风格色彩、环境要素等的统筹引导。</w:t>
      </w:r>
    </w:p>
    <w:p w14:paraId="28D31B19" w14:textId="70E03681" w:rsidR="0062582F" w:rsidRDefault="00000000">
      <w:pPr>
        <w:widowControl/>
        <w:spacing w:line="600" w:lineRule="exact"/>
        <w:ind w:firstLine="618"/>
        <w:rPr>
          <w:rFonts w:ascii="Calibri" w:eastAsia="仿宋_GB2312" w:hAnsi="Calibri" w:cs="Times New Roman"/>
          <w:sz w:val="32"/>
          <w14:ligatures w14:val="none"/>
        </w:rPr>
      </w:pPr>
      <w:r>
        <w:rPr>
          <w:rFonts w:ascii="Calibri" w:eastAsia="楷体" w:hAnsi="Calibri" w:cs="Times New Roman"/>
          <w:kern w:val="0"/>
          <w:sz w:val="31"/>
          <w:szCs w:val="31"/>
          <w14:ligatures w14:val="none"/>
        </w:rPr>
        <w:t>合理布局旅游景区。</w:t>
      </w:r>
      <w:r>
        <w:rPr>
          <w:rFonts w:ascii="Calibri" w:eastAsia="仿宋_GB2312" w:hAnsi="Calibri" w:cs="Times New Roman"/>
          <w:sz w:val="32"/>
          <w14:ligatures w14:val="none"/>
        </w:rPr>
        <w:t>支持</w:t>
      </w:r>
      <w:r>
        <w:rPr>
          <w:rFonts w:ascii="Calibri" w:eastAsia="仿宋_GB2312" w:hAnsi="Calibri" w:cs="Times New Roman" w:hint="eastAsia"/>
          <w:sz w:val="32"/>
          <w14:ligatures w14:val="none"/>
        </w:rPr>
        <w:t>县城</w:t>
      </w:r>
      <w:r>
        <w:rPr>
          <w:rFonts w:ascii="Calibri" w:eastAsia="仿宋_GB2312" w:hAnsi="Calibri" w:cs="Times New Roman"/>
          <w:sz w:val="32"/>
          <w14:ligatures w14:val="none"/>
        </w:rPr>
        <w:t>周边的风景名胜资源与农业、生态、城镇空间融合，满足市民日常休闲旅游需要。各乡镇风景名胜资源结合和美乡村建设作为带动乡村振兴的空间载体，丰富体验式旅游产品。</w:t>
      </w:r>
    </w:p>
    <w:p w14:paraId="45C359C2"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08" w:name="_Toc164695115"/>
      <w:r>
        <w:rPr>
          <w:rFonts w:ascii="黑体" w:eastAsia="黑体" w:hAnsi="黑体" w:cs="Times New Roman" w:hint="eastAsia"/>
          <w:b/>
          <w:bCs/>
          <w:sz w:val="32"/>
          <w:szCs w:val="32"/>
          <w14:ligatures w14:val="none"/>
        </w:rPr>
        <w:t>第三节 塑造特色的城乡风貌</w:t>
      </w:r>
      <w:bookmarkEnd w:id="108"/>
    </w:p>
    <w:p w14:paraId="1B1233D7" w14:textId="77777777" w:rsidR="0062582F" w:rsidRDefault="00000000">
      <w:pPr>
        <w:spacing w:before="62"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构建“半城山色半城水”城乡风貌骨架。</w:t>
      </w:r>
      <w:r>
        <w:rPr>
          <w:rFonts w:ascii="Calibri" w:eastAsia="仿宋_GB2312" w:hAnsi="Calibri" w:cs="Times New Roman" w:hint="eastAsia"/>
          <w:sz w:val="32"/>
          <w14:ligatures w14:val="none"/>
        </w:rPr>
        <w:t>依托尧渡河、黄湓河、龙泉河等主要河流，突出“三水”北入长江、南入鄱阳湖、串联城镇的骨架作用，强化向水而生的空间脉络。构建滨水绿带与生态廊道，</w:t>
      </w:r>
      <w:r>
        <w:rPr>
          <w:rFonts w:ascii="Calibri" w:eastAsia="仿宋_GB2312" w:hAnsi="Calibri" w:cs="Times New Roman"/>
          <w:sz w:val="32"/>
          <w14:ligatures w14:val="none"/>
        </w:rPr>
        <w:t>优化</w:t>
      </w:r>
      <w:r>
        <w:rPr>
          <w:rFonts w:ascii="Calibri" w:eastAsia="仿宋_GB2312" w:hAnsi="Calibri" w:cs="Times New Roman" w:hint="eastAsia"/>
          <w:sz w:val="32"/>
          <w14:ligatures w14:val="none"/>
        </w:rPr>
        <w:t>“半城山色半城水”的城绿交融格局。</w:t>
      </w:r>
    </w:p>
    <w:p w14:paraId="245B6CE4" w14:textId="6497D7DD" w:rsidR="0062582F" w:rsidRDefault="00000000">
      <w:pPr>
        <w:spacing w:before="62"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保护与塑造乡村田园风光。</w:t>
      </w:r>
      <w:r>
        <w:rPr>
          <w:rFonts w:ascii="Calibri" w:eastAsia="仿宋_GB2312" w:hAnsi="Calibri" w:cs="Times New Roman" w:hint="eastAsia"/>
          <w:bCs/>
          <w:sz w:val="32"/>
          <w14:ligatures w14:val="none"/>
        </w:rPr>
        <w:t>加强乡村地区的风貌保护与管控，体现田园风光与乡土特色。</w:t>
      </w:r>
    </w:p>
    <w:p w14:paraId="626D19A1" w14:textId="304133CB" w:rsidR="0062582F" w:rsidRDefault="00000000">
      <w:pPr>
        <w:spacing w:before="62" w:line="600" w:lineRule="exact"/>
        <w:ind w:firstLine="641"/>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积极培育特色小镇。</w:t>
      </w:r>
      <w:r>
        <w:rPr>
          <w:rFonts w:ascii="Calibri" w:eastAsia="仿宋_GB2312" w:hAnsi="Calibri" w:cs="Times New Roman" w:hint="eastAsia"/>
          <w:sz w:val="32"/>
          <w14:ligatures w14:val="none"/>
        </w:rPr>
        <w:t>支撑建设特色小镇示范样板，形成可复制可推广经验模式。加快形成各具特色的镇域支柱产业，形成“一镇一特色”的良好布局。</w:t>
      </w:r>
    </w:p>
    <w:p w14:paraId="0E7D152D" w14:textId="77777777" w:rsidR="0062582F" w:rsidRDefault="00000000">
      <w:pPr>
        <w:spacing w:before="62" w:line="560" w:lineRule="exact"/>
        <w:ind w:firstLine="643"/>
        <w:rPr>
          <w:rFonts w:ascii="Times New Roman" w:eastAsia="黑体" w:hAnsi="Times New Roman" w:cs="Times New Roman"/>
          <w:b/>
          <w:bCs/>
          <w:kern w:val="44"/>
          <w:sz w:val="44"/>
          <w:szCs w:val="44"/>
          <w14:ligatures w14:val="none"/>
        </w:rPr>
      </w:pPr>
      <w:r>
        <w:rPr>
          <w:rFonts w:ascii="Times New Roman" w:eastAsia="仿宋_GB2312" w:hAnsi="Times New Roman" w:cs="Times New Roman"/>
          <w:b/>
          <w:bCs/>
          <w:kern w:val="44"/>
          <w:sz w:val="44"/>
          <w:szCs w:val="44"/>
          <w14:ligatures w14:val="none"/>
        </w:rPr>
        <w:br w:type="page"/>
      </w:r>
    </w:p>
    <w:p w14:paraId="6FA21119"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109" w:name="_Toc164695116"/>
      <w:r>
        <w:rPr>
          <w:rFonts w:ascii="方正小标宋简体" w:eastAsia="方正小标宋简体" w:hAnsi="Times New Roman" w:cs="Times New Roman" w:hint="eastAsia"/>
          <w:b/>
          <w:bCs/>
          <w:kern w:val="44"/>
          <w:sz w:val="44"/>
          <w:szCs w:val="44"/>
          <w14:ligatures w14:val="none"/>
        </w:rPr>
        <w:lastRenderedPageBreak/>
        <w:t>第九章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保障重大基础设施，建设安全韧性智慧城市</w:t>
      </w:r>
      <w:bookmarkEnd w:id="109"/>
    </w:p>
    <w:p w14:paraId="3776DD4D" w14:textId="77777777" w:rsidR="0062582F" w:rsidRDefault="00000000">
      <w:pPr>
        <w:widowControl/>
        <w:shd w:val="clear" w:color="auto" w:fill="FFFFFF"/>
        <w:spacing w:before="100" w:beforeAutospacing="1" w:after="100" w:afterAutospacing="1" w:line="600" w:lineRule="exact"/>
        <w:ind w:firstLine="720"/>
        <w:rPr>
          <w:rFonts w:ascii="Times New Roman" w:eastAsia="仿宋_GB2312" w:hAnsi="Times New Roman" w:cs="Times New Roman"/>
          <w:sz w:val="32"/>
          <w14:ligatures w14:val="none"/>
        </w:rPr>
      </w:pPr>
      <w:r>
        <w:rPr>
          <w:rFonts w:ascii="Times New Roman" w:eastAsia="仿宋_GB2312" w:hAnsi="Times New Roman" w:cs="Times New Roman" w:hint="eastAsia"/>
          <w:sz w:val="32"/>
          <w14:ligatures w14:val="none"/>
        </w:rPr>
        <w:t>立足安徽省西南门户县的区位，加快形成多维多向联系通道，提升区域连通度，支撑东至进一步融入国家战略。发挥长江黄金水道作用，完善城乡道路交通系统，优化水、能源、矿产资源配置，保障新型基础设施建设，统筹市政基础设施布局，合理布局防灾空间和设施，推进安全韧性智慧城市建设。</w:t>
      </w:r>
    </w:p>
    <w:p w14:paraId="66149821"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10" w:name="_Toc164695117"/>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完善综合立体交通设施布局</w:t>
      </w:r>
      <w:bookmarkEnd w:id="110"/>
    </w:p>
    <w:p w14:paraId="3F1D1CEE" w14:textId="506CCBE9"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支撑多维联运的综合交通体系建设。</w:t>
      </w:r>
      <w:r>
        <w:rPr>
          <w:rFonts w:ascii="Times New Roman" w:eastAsia="仿宋_GB2312" w:hAnsi="Times New Roman" w:cs="Times New Roman" w:hint="eastAsia"/>
          <w:sz w:val="32"/>
          <w14:ligatures w14:val="none"/>
        </w:rPr>
        <w:t>支撑建设东至通用机场、高速铁路、航运港区、国省道改扩建、绿色矿山运输廊道、铁路专用线等项目，完善东至县综合交通体系，强化综合交通多维联运，加快东至县融入长三角一体化交通网络，提高区域竞争力。</w:t>
      </w:r>
    </w:p>
    <w:p w14:paraId="5AEBA25D" w14:textId="78D78953"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保障航空运输建设。</w:t>
      </w:r>
      <w:r>
        <w:rPr>
          <w:rFonts w:ascii="Times New Roman" w:eastAsia="仿宋_GB2312" w:hAnsi="Times New Roman" w:cs="Times New Roman" w:hint="eastAsia"/>
          <w:sz w:val="32"/>
          <w14:ligatures w14:val="none"/>
        </w:rPr>
        <w:t>支持并积极谋划东至通用机场，加强对农业生产、旅游观光、产业发展、消防应急等服务支撑，保障东至通用机场建设空间。</w:t>
      </w:r>
    </w:p>
    <w:p w14:paraId="1CC0A3B4" w14:textId="721598B4"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保障铁路网络建设。</w:t>
      </w:r>
      <w:r>
        <w:rPr>
          <w:rFonts w:ascii="Times New Roman" w:eastAsia="仿宋_GB2312" w:hAnsi="Times New Roman" w:cs="Times New Roman" w:hint="eastAsia"/>
          <w:sz w:val="32"/>
          <w14:ligatures w14:val="none"/>
        </w:rPr>
        <w:t>保障铁路、项目建设空间，构建与长三角地区主要城市互联互通的铁路客运线路，预留高铁站建设</w:t>
      </w:r>
      <w:r>
        <w:rPr>
          <w:rFonts w:ascii="Times New Roman" w:eastAsia="仿宋_GB2312" w:hAnsi="Times New Roman" w:cs="Times New Roman" w:hint="eastAsia"/>
          <w:sz w:val="32"/>
          <w14:ligatures w14:val="none"/>
        </w:rPr>
        <w:lastRenderedPageBreak/>
        <w:t>空间。保障经济开发区铁路专用线项目，优化经济开发区运输条件，实现铁水联运。</w:t>
      </w:r>
    </w:p>
    <w:p w14:paraId="2554E2AB" w14:textId="50B209A9" w:rsidR="0062582F" w:rsidRDefault="00000000">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保障矿产品绿色运输廊道建设。</w:t>
      </w:r>
      <w:r>
        <w:rPr>
          <w:rFonts w:ascii="Times New Roman" w:eastAsia="仿宋_GB2312" w:hAnsi="Times New Roman" w:cs="Times New Roman" w:hint="eastAsia"/>
          <w:sz w:val="32"/>
          <w14:ligatures w14:val="none"/>
        </w:rPr>
        <w:t>保障东至矿产品绿色运输廊道、石台—东至非金属矿专用铁路等项目建设空间，实现矿—港—廊一体化建设。</w:t>
      </w:r>
    </w:p>
    <w:p w14:paraId="5BBFC7D7" w14:textId="77777777" w:rsidR="00E67BFC" w:rsidRDefault="00000000" w:rsidP="00E67BFC">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推进过江通道布局建设。</w:t>
      </w:r>
      <w:r>
        <w:rPr>
          <w:rFonts w:ascii="Times New Roman" w:eastAsia="仿宋_GB2312" w:hAnsi="Times New Roman" w:cs="Times New Roman" w:hint="eastAsia"/>
          <w:sz w:val="32"/>
          <w14:ligatures w14:val="none"/>
        </w:rPr>
        <w:t>长江干线东至段过江通道共计</w:t>
      </w:r>
      <w:r>
        <w:rPr>
          <w:rFonts w:ascii="Times New Roman" w:eastAsia="仿宋_GB2312" w:hAnsi="Times New Roman" w:cs="Times New Roman"/>
          <w:sz w:val="32"/>
          <w14:ligatures w14:val="none"/>
        </w:rPr>
        <w:t>6</w:t>
      </w:r>
      <w:r>
        <w:rPr>
          <w:rFonts w:ascii="Times New Roman" w:eastAsia="仿宋_GB2312" w:hAnsi="Times New Roman" w:cs="Times New Roman" w:hint="eastAsia"/>
          <w:sz w:val="32"/>
          <w14:ligatures w14:val="none"/>
        </w:rPr>
        <w:t>处，重点保障</w:t>
      </w:r>
      <w:r w:rsidR="00E67BFC">
        <w:rPr>
          <w:rFonts w:ascii="Times New Roman" w:eastAsia="仿宋_GB2312" w:hAnsi="Times New Roman" w:cs="Times New Roman" w:hint="eastAsia"/>
          <w:sz w:val="32"/>
          <w14:ligatures w14:val="none"/>
        </w:rPr>
        <w:t>过江通道</w:t>
      </w:r>
      <w:r>
        <w:rPr>
          <w:rFonts w:ascii="Times New Roman" w:eastAsia="仿宋_GB2312" w:hAnsi="Times New Roman" w:cs="Times New Roman" w:hint="eastAsia"/>
          <w:sz w:val="32"/>
          <w14:ligatures w14:val="none"/>
        </w:rPr>
        <w:t>空间需求。</w:t>
      </w:r>
    </w:p>
    <w:p w14:paraId="4F469EF7" w14:textId="77777777" w:rsidR="00E67BFC" w:rsidRDefault="00000000" w:rsidP="00E67BFC">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保障港口集疏运体系建设。</w:t>
      </w:r>
      <w:r>
        <w:rPr>
          <w:rFonts w:ascii="Times New Roman" w:eastAsia="仿宋_GB2312" w:hAnsi="Times New Roman" w:cs="Times New Roman" w:hint="eastAsia"/>
          <w:sz w:val="32"/>
          <w14:ligatures w14:val="none"/>
        </w:rPr>
        <w:t>有效整合港口和岸线资源，充分发挥东至滨江港口岸线优势，形成</w:t>
      </w:r>
      <w:r w:rsidR="00E67BFC">
        <w:rPr>
          <w:rFonts w:ascii="Times New Roman" w:eastAsia="仿宋_GB2312" w:hAnsi="Times New Roman" w:cs="Times New Roman" w:hint="eastAsia"/>
          <w:sz w:val="32"/>
          <w14:ligatures w14:val="none"/>
        </w:rPr>
        <w:t xml:space="preserve"> </w:t>
      </w:r>
      <w:r w:rsidR="00070CA7">
        <w:rPr>
          <w:rFonts w:ascii="Times New Roman" w:eastAsia="仿宋_GB2312" w:hAnsi="Times New Roman" w:cs="Times New Roman" w:hint="eastAsia"/>
          <w:sz w:val="32"/>
          <w14:ligatures w14:val="none"/>
        </w:rPr>
        <w:t>“四大港区”</w:t>
      </w:r>
      <w:r>
        <w:rPr>
          <w:rFonts w:ascii="Times New Roman" w:eastAsia="仿宋_GB2312" w:hAnsi="Times New Roman" w:cs="Times New Roman" w:hint="eastAsia"/>
          <w:sz w:val="32"/>
          <w14:ligatures w14:val="none"/>
        </w:rPr>
        <w:t>港口体系。</w:t>
      </w:r>
    </w:p>
    <w:p w14:paraId="70CB24AF" w14:textId="77777777" w:rsidR="00E67BFC" w:rsidRDefault="00000000" w:rsidP="00E67BFC">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提升高速公路通达水平。</w:t>
      </w:r>
      <w:r w:rsidRPr="00E67BFC">
        <w:rPr>
          <w:rFonts w:ascii="Times New Roman" w:eastAsia="仿宋_GB2312" w:hAnsi="Times New Roman" w:cs="Times New Roman" w:hint="eastAsia"/>
          <w:sz w:val="32"/>
          <w14:ligatures w14:val="none"/>
        </w:rPr>
        <w:t>支撑建设顺畅的高速公路网络，保障“四横两纵”网络化高速公路建设。</w:t>
      </w:r>
    </w:p>
    <w:p w14:paraId="73B9F399" w14:textId="77777777" w:rsidR="00E67BFC" w:rsidRDefault="00000000" w:rsidP="00E67BFC">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完善城乡道路交通体系。</w:t>
      </w:r>
      <w:r>
        <w:rPr>
          <w:rFonts w:ascii="Times New Roman" w:eastAsia="仿宋_GB2312" w:hAnsi="Times New Roman" w:cs="Times New Roman" w:hint="eastAsia"/>
          <w:sz w:val="32"/>
          <w14:ligatures w14:val="none"/>
        </w:rPr>
        <w:t>加强县城与乡镇的快速交通联系，依托高速公路、国道、省道形成多通道复合快速交通系统，提升县域公路服务水平。</w:t>
      </w:r>
    </w:p>
    <w:p w14:paraId="0CA1A86D" w14:textId="3FC33828" w:rsidR="0062582F" w:rsidRDefault="00000000" w:rsidP="00E67BFC">
      <w:pPr>
        <w:widowControl/>
        <w:shd w:val="clear" w:color="auto" w:fill="FFFFFF"/>
        <w:spacing w:line="600" w:lineRule="exact"/>
        <w:ind w:firstLine="72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推进城乡交通一体化布局。</w:t>
      </w:r>
      <w:r>
        <w:rPr>
          <w:rFonts w:ascii="Times New Roman" w:eastAsia="仿宋_GB2312" w:hAnsi="Times New Roman" w:cs="Times New Roman" w:hint="eastAsia"/>
          <w:sz w:val="32"/>
          <w14:ligatures w14:val="none"/>
        </w:rPr>
        <w:t>构建便捷通畅的乡村骨干公路网络和普惠公平的乡村基础公路网络，提升城乡交通一体化服务水平。</w:t>
      </w:r>
    </w:p>
    <w:p w14:paraId="30C713B2"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11" w:name="_Toc164695118"/>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构建安全可靠的水利基础设施网络</w:t>
      </w:r>
      <w:bookmarkEnd w:id="111"/>
    </w:p>
    <w:p w14:paraId="38D52167" w14:textId="77777777" w:rsidR="00E67BFC" w:rsidRDefault="00000000" w:rsidP="00E67BFC">
      <w:pPr>
        <w:spacing w:line="600" w:lineRule="exact"/>
        <w:ind w:firstLineChars="200" w:firstLine="64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合理配置水资源。</w:t>
      </w:r>
      <w:r>
        <w:rPr>
          <w:rFonts w:ascii="Calibri" w:eastAsia="仿宋_GB2312" w:hAnsi="Calibri" w:cs="Times New Roman"/>
          <w:sz w:val="32"/>
          <w14:ligatures w14:val="none"/>
        </w:rPr>
        <w:t>实施水资源战略储备，加大对重要水源涵养区、重要水源地、重要河湖等管控力度，从源头严守水资源安全底线。</w:t>
      </w:r>
    </w:p>
    <w:p w14:paraId="03D86883" w14:textId="636F31E0" w:rsidR="0062582F" w:rsidRDefault="00000000" w:rsidP="00E67BFC">
      <w:pPr>
        <w:spacing w:line="600" w:lineRule="exact"/>
        <w:ind w:firstLineChars="200" w:firstLine="64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lastRenderedPageBreak/>
        <w:t>完善城乡供水体系。</w:t>
      </w:r>
      <w:r>
        <w:rPr>
          <w:rFonts w:ascii="Calibri" w:eastAsia="仿宋_GB2312" w:hAnsi="Calibri" w:cs="Times New Roman"/>
          <w:sz w:val="32"/>
          <w14:ligatures w14:val="none"/>
        </w:rPr>
        <w:t>提升城乡供水可靠性，形成安全稳定的供水体系。支持形成多水源供水格局，保障供水场站建设用地，支持建设统一的城市供水管网系统，推进城乡供水一体化。</w:t>
      </w:r>
    </w:p>
    <w:p w14:paraId="6D589ED7" w14:textId="77777777" w:rsidR="0062582F" w:rsidRDefault="00000000">
      <w:pPr>
        <w:spacing w:line="600" w:lineRule="exact"/>
        <w:ind w:firstLineChars="200" w:firstLine="640"/>
        <w:rPr>
          <w:rFonts w:ascii="Times New Roman" w:eastAsia="仿宋_GB2312" w:hAnsi="Times New Roman" w:cs="Times New Roman"/>
          <w:b/>
          <w:bCs/>
          <w:sz w:val="32"/>
          <w14:ligatures w14:val="none"/>
        </w:rPr>
      </w:pPr>
      <w:r>
        <w:rPr>
          <w:rFonts w:ascii="Times New Roman" w:eastAsia="楷体" w:hAnsi="Times New Roman" w:cs="Times New Roman" w:hint="eastAsia"/>
          <w:sz w:val="32"/>
          <w:szCs w:val="32"/>
          <w:lang w:bidi="ar"/>
          <w14:ligatures w14:val="none"/>
        </w:rPr>
        <w:t>实施水生态环境修复。</w:t>
      </w:r>
      <w:r>
        <w:rPr>
          <w:rFonts w:ascii="Times New Roman" w:eastAsia="仿宋_GB2312" w:hAnsi="Times New Roman" w:cs="Times New Roman" w:hint="eastAsia"/>
          <w:sz w:val="32"/>
          <w14:ligatures w14:val="none"/>
        </w:rPr>
        <w:t>实施陆域水域系统治理，加强水土保持生态建设与保护、水环境综合治理、农村水系综合整治、河湖生态水网构建、河流生态廊道建设、湖泊湿地生态保护与修复等工程。</w:t>
      </w:r>
    </w:p>
    <w:p w14:paraId="664AFAB5"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12" w:name="_Toc164695119"/>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完善低碳多元的能源资源体系</w:t>
      </w:r>
      <w:bookmarkEnd w:id="112"/>
    </w:p>
    <w:p w14:paraId="6580EC1C" w14:textId="3BD946D3" w:rsidR="0062582F" w:rsidRDefault="00000000">
      <w:pPr>
        <w:spacing w:line="600" w:lineRule="exact"/>
        <w:ind w:firstLineChars="200" w:firstLine="640"/>
        <w:rPr>
          <w:rFonts w:ascii="Times New Roman" w:eastAsia="仿宋_GB2312" w:hAnsi="Times New Roman" w:cs="Times New Roman"/>
          <w:sz w:val="32"/>
          <w:szCs w:val="32"/>
          <w:highlight w:val="yellow"/>
          <w14:ligatures w14:val="none"/>
        </w:rPr>
      </w:pPr>
      <w:r>
        <w:rPr>
          <w:rFonts w:ascii="Times New Roman" w:eastAsia="楷体" w:hAnsi="Times New Roman" w:cs="Times New Roman" w:hint="eastAsia"/>
          <w:sz w:val="32"/>
          <w:szCs w:val="32"/>
          <w:lang w:bidi="ar"/>
          <w14:ligatures w14:val="none"/>
        </w:rPr>
        <w:t>建设安全可靠的燃气供应系统。</w:t>
      </w:r>
      <w:r>
        <w:rPr>
          <w:rFonts w:ascii="Times New Roman" w:eastAsia="仿宋_GB2312" w:hAnsi="Times New Roman" w:cs="Times New Roman" w:hint="eastAsia"/>
          <w:sz w:val="32"/>
          <w:szCs w:val="32"/>
          <w14:ligatures w14:val="none"/>
        </w:rPr>
        <w:t>远期县域形成“四气源、双管网”的高压输气管网体系。</w:t>
      </w:r>
    </w:p>
    <w:p w14:paraId="1DEEDFC4" w14:textId="77777777" w:rsidR="0062582F" w:rsidRDefault="00000000">
      <w:pPr>
        <w:widowControl/>
        <w:spacing w:line="600" w:lineRule="exact"/>
        <w:ind w:firstLineChars="200" w:firstLine="640"/>
        <w:rPr>
          <w:rFonts w:ascii="仿宋" w:eastAsia="仿宋" w:hAnsi="仿宋" w:cs="仿宋" w:hint="eastAsia"/>
          <w:sz w:val="32"/>
          <w:szCs w:val="32"/>
          <w14:ligatures w14:val="none"/>
        </w:rPr>
      </w:pPr>
      <w:r>
        <w:rPr>
          <w:rFonts w:ascii="Times New Roman" w:eastAsia="楷体" w:hAnsi="Times New Roman" w:cs="Times New Roman" w:hint="eastAsia"/>
          <w:sz w:val="32"/>
          <w:szCs w:val="32"/>
          <w:lang w:bidi="ar"/>
          <w14:ligatures w14:val="none"/>
        </w:rPr>
        <w:t>保障可再生能源用地空间。</w:t>
      </w:r>
      <w:r>
        <w:rPr>
          <w:rFonts w:ascii="Times New Roman" w:eastAsia="仿宋_GB2312" w:hAnsi="Times New Roman" w:cs="Times New Roman" w:hint="eastAsia"/>
          <w:sz w:val="32"/>
          <w14:ligatures w14:val="none"/>
        </w:rPr>
        <w:t>加速能源结构优化，光伏、风电、生物质、地热能、核能等可再生能源发展，加速东至县能源结构进一步优化，提升能源利用效率。</w:t>
      </w:r>
    </w:p>
    <w:p w14:paraId="4BD898EB" w14:textId="358DF3BD"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Times New Roman" w:eastAsia="楷体" w:hAnsi="Times New Roman" w:cs="Times New Roman" w:hint="eastAsia"/>
          <w:sz w:val="32"/>
          <w:szCs w:val="32"/>
          <w:lang w:bidi="ar"/>
          <w14:ligatures w14:val="none"/>
        </w:rPr>
        <w:t>构建保障有力的供电系统。</w:t>
      </w:r>
      <w:r>
        <w:rPr>
          <w:rFonts w:ascii="仿宋_GB2312" w:eastAsia="仿宋_GB2312" w:hAnsi="仿宋_GB2312" w:cs="Times New Roman" w:hint="eastAsia"/>
          <w:sz w:val="32"/>
          <w:szCs w:val="32"/>
          <w14:ligatures w14:val="none"/>
        </w:rPr>
        <w:t>保障电源站点设施建设，统筹县域廊道布局。</w:t>
      </w:r>
      <w:r>
        <w:rPr>
          <w:rFonts w:ascii="仿宋_GB2312" w:eastAsia="仿宋_GB2312" w:hAnsi="仿宋_GB2312" w:cs="Times New Roman"/>
          <w:sz w:val="32"/>
          <w:szCs w:val="32"/>
          <w14:ligatures w14:val="none"/>
        </w:rPr>
        <w:t>保障电力线路建设空间。</w:t>
      </w:r>
    </w:p>
    <w:p w14:paraId="44E7734C"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13" w:name="_Toc164695120"/>
      <w:r>
        <w:rPr>
          <w:rFonts w:ascii="黑体" w:eastAsia="黑体" w:hAnsi="黑体" w:cs="Times New Roman" w:hint="eastAsia"/>
          <w:b/>
          <w:bCs/>
          <w:sz w:val="32"/>
          <w:szCs w:val="32"/>
          <w14:ligatures w14:val="none"/>
        </w:rPr>
        <w:t>第四节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建设绿色稳定的矿产资源保障体系</w:t>
      </w:r>
      <w:bookmarkEnd w:id="113"/>
    </w:p>
    <w:p w14:paraId="7E3EFA7B" w14:textId="0399303E" w:rsidR="0062582F" w:rsidRDefault="00000000">
      <w:pPr>
        <w:spacing w:line="600" w:lineRule="exact"/>
        <w:ind w:firstLine="640"/>
        <w:rPr>
          <w:rFonts w:ascii="Times New Roman" w:eastAsia="楷体" w:hAnsi="Times New Roman" w:cs="Times New Roman"/>
          <w:sz w:val="32"/>
          <w:szCs w:val="32"/>
          <w:lang w:bidi="ar"/>
          <w14:ligatures w14:val="none"/>
        </w:rPr>
      </w:pPr>
      <w:r>
        <w:rPr>
          <w:rFonts w:ascii="Times New Roman" w:eastAsia="楷体" w:hAnsi="Times New Roman" w:cs="Times New Roman" w:hint="eastAsia"/>
          <w:sz w:val="32"/>
          <w:szCs w:val="32"/>
          <w:lang w:bidi="ar"/>
          <w14:ligatures w14:val="none"/>
        </w:rPr>
        <w:t>优化矿产资源开发利用布局。</w:t>
      </w:r>
      <w:r>
        <w:rPr>
          <w:rFonts w:ascii="Times New Roman" w:eastAsia="仿宋_GB2312" w:hAnsi="Times New Roman" w:cs="Times New Roman"/>
          <w:sz w:val="32"/>
          <w:szCs w:val="32"/>
          <w14:ligatures w14:val="none"/>
        </w:rPr>
        <w:t>全面落实国家、安徽省</w:t>
      </w:r>
      <w:r>
        <w:rPr>
          <w:rFonts w:ascii="Times New Roman" w:eastAsia="仿宋_GB2312" w:hAnsi="Times New Roman" w:cs="Times New Roman" w:hint="eastAsia"/>
          <w:sz w:val="32"/>
          <w:szCs w:val="32"/>
          <w14:ligatures w14:val="none"/>
        </w:rPr>
        <w:t>、池州市</w:t>
      </w:r>
      <w:r>
        <w:rPr>
          <w:rFonts w:ascii="Times New Roman" w:eastAsia="仿宋_GB2312" w:hAnsi="Times New Roman" w:cs="Times New Roman"/>
          <w:sz w:val="32"/>
          <w:szCs w:val="32"/>
          <w14:ligatures w14:val="none"/>
        </w:rPr>
        <w:t>矿产资源规划，优化调整矿产资源开发布局，实现全</w:t>
      </w:r>
      <w:r>
        <w:rPr>
          <w:rFonts w:ascii="Times New Roman" w:eastAsia="仿宋_GB2312" w:hAnsi="Times New Roman" w:cs="Times New Roman" w:hint="eastAsia"/>
          <w:sz w:val="32"/>
          <w:szCs w:val="32"/>
          <w14:ligatures w14:val="none"/>
        </w:rPr>
        <w:t>县</w:t>
      </w:r>
      <w:r>
        <w:rPr>
          <w:rFonts w:ascii="Times New Roman" w:eastAsia="仿宋_GB2312" w:hAnsi="Times New Roman" w:cs="Times New Roman"/>
          <w:sz w:val="32"/>
          <w:szCs w:val="32"/>
          <w14:ligatures w14:val="none"/>
        </w:rPr>
        <w:t>矿业布局合理、集聚发展。严格实施国土空间管控，衔接落实区域</w:t>
      </w:r>
      <w:r>
        <w:rPr>
          <w:rFonts w:ascii="Times New Roman" w:eastAsia="仿宋_GB2312" w:hAnsi="Times New Roman" w:cs="Times New Roman" w:hint="eastAsia"/>
          <w:sz w:val="32"/>
          <w:szCs w:val="32"/>
          <w14:ligatures w14:val="none"/>
        </w:rPr>
        <w:t>“</w:t>
      </w:r>
      <w:r>
        <w:rPr>
          <w:rFonts w:ascii="Times New Roman" w:eastAsia="仿宋_GB2312" w:hAnsi="Times New Roman" w:cs="Times New Roman"/>
          <w:sz w:val="32"/>
          <w:szCs w:val="32"/>
          <w14:ligatures w14:val="none"/>
        </w:rPr>
        <w:t>三线一单</w:t>
      </w:r>
      <w:r>
        <w:rPr>
          <w:rFonts w:ascii="Times New Roman" w:eastAsia="仿宋_GB2312" w:hAnsi="Times New Roman" w:cs="Times New Roman" w:hint="eastAsia"/>
          <w:sz w:val="32"/>
          <w:szCs w:val="32"/>
          <w14:ligatures w14:val="none"/>
        </w:rPr>
        <w:t>”</w:t>
      </w:r>
      <w:r>
        <w:rPr>
          <w:rFonts w:ascii="Times New Roman" w:eastAsia="仿宋_GB2312" w:hAnsi="Times New Roman" w:cs="Times New Roman"/>
          <w:sz w:val="32"/>
          <w:szCs w:val="32"/>
          <w14:ligatures w14:val="none"/>
        </w:rPr>
        <w:t>生态环境分区管控要求，对部分战略性矿产矿业</w:t>
      </w:r>
      <w:r>
        <w:rPr>
          <w:rFonts w:ascii="Times New Roman" w:eastAsia="仿宋_GB2312" w:hAnsi="Times New Roman" w:cs="Times New Roman"/>
          <w:sz w:val="32"/>
          <w:szCs w:val="32"/>
          <w14:ligatures w14:val="none"/>
        </w:rPr>
        <w:lastRenderedPageBreak/>
        <w:t>权实施差别管理。</w:t>
      </w:r>
    </w:p>
    <w:p w14:paraId="511C32A6" w14:textId="26DC5A98" w:rsidR="0062582F" w:rsidRDefault="00000000">
      <w:pPr>
        <w:spacing w:line="600" w:lineRule="exact"/>
        <w:ind w:firstLine="640"/>
        <w:rPr>
          <w:rFonts w:ascii="Calibri" w:eastAsia="仿宋_GB2312" w:hAnsi="Calibri" w:cs="Times New Roman"/>
          <w:sz w:val="32"/>
          <w14:ligatures w14:val="none"/>
        </w:rPr>
      </w:pPr>
      <w:r>
        <w:rPr>
          <w:rFonts w:ascii="Times New Roman" w:eastAsia="楷体" w:hAnsi="Times New Roman" w:cs="Times New Roman" w:hint="eastAsia"/>
          <w:sz w:val="32"/>
          <w:szCs w:val="32"/>
          <w:lang w:bidi="ar"/>
          <w14:ligatures w14:val="none"/>
        </w:rPr>
        <w:t>合理开发利用矿产资源。</w:t>
      </w:r>
      <w:r>
        <w:rPr>
          <w:rFonts w:ascii="Calibri" w:eastAsia="仿宋_GB2312" w:hAnsi="Calibri" w:cs="Times New Roman"/>
          <w:sz w:val="32"/>
          <w14:ligatures w14:val="none"/>
        </w:rPr>
        <w:t>坚持矿山开采规模与资源储量规模相适应原则</w:t>
      </w:r>
      <w:r>
        <w:rPr>
          <w:rFonts w:ascii="Calibri" w:eastAsia="仿宋_GB2312" w:hAnsi="Calibri" w:cs="Times New Roman" w:hint="eastAsia"/>
          <w:sz w:val="32"/>
          <w14:ligatures w14:val="none"/>
        </w:rPr>
        <w:t>，</w:t>
      </w:r>
      <w:r>
        <w:rPr>
          <w:rFonts w:ascii="Calibri" w:eastAsia="仿宋_GB2312" w:hAnsi="Calibri" w:cs="Times New Roman"/>
          <w:sz w:val="32"/>
          <w14:ligatures w14:val="none"/>
        </w:rPr>
        <w:t>在成矿地质条件有利和找矿前景较好的地区落实省级重点勘查区，划定市级勘查规划区块、开采规划区块，保障矿产重点发展区域。</w:t>
      </w:r>
    </w:p>
    <w:p w14:paraId="41CFEEC9" w14:textId="77777777" w:rsidR="0062582F" w:rsidRDefault="00000000">
      <w:pPr>
        <w:keepNext/>
        <w:keepLines/>
        <w:spacing w:before="260" w:after="260" w:line="600" w:lineRule="atLeast"/>
        <w:jc w:val="center"/>
        <w:outlineLvl w:val="1"/>
        <w:rPr>
          <w:rFonts w:ascii="黑体" w:eastAsia="黑体" w:hAnsi="黑体" w:cs="Times New Roman" w:hint="eastAsia"/>
          <w:b/>
          <w:bCs/>
          <w:sz w:val="32"/>
          <w:szCs w:val="32"/>
          <w14:ligatures w14:val="none"/>
        </w:rPr>
      </w:pPr>
      <w:bookmarkStart w:id="114" w:name="_Toc164695121"/>
      <w:r>
        <w:rPr>
          <w:rFonts w:ascii="黑体" w:eastAsia="黑体" w:hAnsi="黑体" w:cs="Times New Roman" w:hint="eastAsia"/>
          <w:b/>
          <w:bCs/>
          <w:sz w:val="32"/>
          <w:szCs w:val="32"/>
          <w14:ligatures w14:val="none"/>
        </w:rPr>
        <w:t>第五节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建立安全韧性的综合防灾设施体系</w:t>
      </w:r>
      <w:bookmarkEnd w:id="114"/>
    </w:p>
    <w:p w14:paraId="7D08AE4D" w14:textId="22363D3C" w:rsidR="001B06DB" w:rsidRPr="00520189" w:rsidRDefault="001B06DB">
      <w:pPr>
        <w:spacing w:line="600" w:lineRule="exact"/>
        <w:ind w:firstLineChars="200" w:firstLine="640"/>
        <w:rPr>
          <w:rFonts w:ascii="Times New Roman" w:eastAsia="仿宋_GB2312" w:hAnsi="Times New Roman" w:cs="Times New Roman"/>
          <w:sz w:val="32"/>
          <w:szCs w:val="32"/>
          <w14:ligatures w14:val="none"/>
        </w:rPr>
      </w:pPr>
      <w:r w:rsidRPr="00520189">
        <w:rPr>
          <w:rFonts w:ascii="楷体" w:eastAsia="楷体" w:hAnsi="楷体" w:cs="Times New Roman" w:hint="eastAsia"/>
          <w:bCs/>
          <w:sz w:val="32"/>
          <w14:ligatures w14:val="none"/>
        </w:rPr>
        <w:t>优化完善防灾减灾空间。</w:t>
      </w:r>
      <w:r w:rsidRPr="00520189">
        <w:rPr>
          <w:rFonts w:ascii="Times New Roman" w:eastAsia="仿宋_GB2312" w:hAnsi="Times New Roman" w:cs="Times New Roman" w:hint="eastAsia"/>
          <w:sz w:val="32"/>
          <w:szCs w:val="32"/>
          <w14:ligatures w14:val="none"/>
        </w:rPr>
        <w:t>积极稳步推进“平急两用”公共基础设施建设，</w:t>
      </w:r>
      <w:r w:rsidR="00311C45" w:rsidRPr="00520189">
        <w:rPr>
          <w:rFonts w:ascii="Times New Roman" w:eastAsia="仿宋_GB2312" w:hAnsi="Times New Roman" w:cs="Times New Roman" w:hint="eastAsia"/>
          <w:sz w:val="32"/>
          <w:szCs w:val="32"/>
          <w14:ligatures w14:val="none"/>
        </w:rPr>
        <w:t>提升城市应急保障能力。</w:t>
      </w:r>
      <w:r w:rsidR="0005553A" w:rsidRPr="00520189">
        <w:rPr>
          <w:rFonts w:ascii="Times New Roman" w:eastAsia="仿宋_GB2312" w:hAnsi="Times New Roman" w:cs="Times New Roman" w:hint="eastAsia"/>
          <w:sz w:val="32"/>
          <w:szCs w:val="32"/>
          <w14:ligatures w14:val="none"/>
        </w:rPr>
        <w:t>“平急两用”公共基础设施结合城市干道布局，并远离城市人口密集区</w:t>
      </w:r>
      <w:r w:rsidRPr="00520189">
        <w:rPr>
          <w:rFonts w:ascii="Times New Roman" w:eastAsia="仿宋_GB2312" w:hAnsi="Times New Roman" w:cs="Times New Roman" w:hint="eastAsia"/>
          <w:sz w:val="32"/>
          <w:szCs w:val="32"/>
          <w14:ligatures w14:val="none"/>
        </w:rPr>
        <w:t>，加强交通不便或灾害事故风险等级高的乡镇应急物资储备。</w:t>
      </w:r>
    </w:p>
    <w:p w14:paraId="61085EBF" w14:textId="71D9ABDA"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bCs/>
          <w:sz w:val="32"/>
          <w14:ligatures w14:val="none"/>
        </w:rPr>
        <w:t>合理布局</w:t>
      </w:r>
      <w:r>
        <w:rPr>
          <w:rFonts w:ascii="楷体" w:eastAsia="楷体" w:hAnsi="楷体" w:cs="Times New Roman"/>
          <w:bCs/>
          <w:sz w:val="32"/>
          <w14:ligatures w14:val="none"/>
        </w:rPr>
        <w:t>消防</w:t>
      </w:r>
      <w:r>
        <w:rPr>
          <w:rFonts w:ascii="楷体" w:eastAsia="楷体" w:hAnsi="楷体" w:cs="Times New Roman" w:hint="eastAsia"/>
          <w:bCs/>
          <w:sz w:val="32"/>
          <w14:ligatures w14:val="none"/>
        </w:rPr>
        <w:t>救援设施。</w:t>
      </w:r>
      <w:r w:rsidRPr="00E67BFC">
        <w:rPr>
          <w:rFonts w:ascii="Times New Roman" w:eastAsia="仿宋_GB2312" w:hAnsi="Times New Roman" w:cs="Times New Roman" w:hint="eastAsia"/>
          <w:sz w:val="32"/>
          <w14:ligatures w14:val="none"/>
        </w:rPr>
        <w:t>城镇消防站</w:t>
      </w:r>
      <w:r w:rsidRPr="00E67BFC">
        <w:rPr>
          <w:rFonts w:ascii="Times New Roman" w:eastAsia="仿宋_GB2312" w:hAnsi="Times New Roman" w:cs="Times New Roman" w:hint="eastAsia"/>
          <w:sz w:val="32"/>
          <w:szCs w:val="32"/>
          <w14:ligatures w14:val="none"/>
        </w:rPr>
        <w:t>布局应以接到报警五分钟内抵达责任区边缘为原则，划定每个消防站责任区面积宜控制在四至七平方千米。</w:t>
      </w:r>
    </w:p>
    <w:p w14:paraId="1927BB67" w14:textId="46A2B618" w:rsidR="0062582F" w:rsidRDefault="00000000">
      <w:pPr>
        <w:spacing w:line="600" w:lineRule="exact"/>
        <w:ind w:firstLineChars="200" w:firstLine="640"/>
        <w:rPr>
          <w:rFonts w:ascii="Times New Roman" w:eastAsia="仿宋_GB2312" w:hAnsi="Times New Roman" w:cs="Times New Roman"/>
          <w:sz w:val="32"/>
          <w:szCs w:val="32"/>
          <w:u w:val="single"/>
          <w14:ligatures w14:val="none"/>
        </w:rPr>
      </w:pPr>
      <w:r>
        <w:rPr>
          <w:rFonts w:ascii="楷体" w:eastAsia="楷体" w:hAnsi="楷体" w:cs="Times New Roman" w:hint="eastAsia"/>
          <w:bCs/>
          <w:sz w:val="32"/>
          <w14:ligatures w14:val="none"/>
        </w:rPr>
        <w:t>完善地下空间及人防工程设施建设。</w:t>
      </w:r>
      <w:r>
        <w:rPr>
          <w:rFonts w:ascii="Times New Roman" w:eastAsia="仿宋_GB2312" w:hAnsi="Times New Roman" w:cs="Times New Roman" w:hint="eastAsia"/>
          <w:sz w:val="32"/>
          <w:szCs w:val="32"/>
          <w14:ligatures w14:val="none"/>
        </w:rPr>
        <w:t>通过地下空间的开发，扩大城市空间容量，提高土地利用效率，优化城市空间布局，改善城市环境质量，提升城市形象，增强城市综合防灾能力，构建综合型的地下空间系统及综合利用、平战结合、配套完善的人防工程体系。</w:t>
      </w:r>
    </w:p>
    <w:p w14:paraId="244D151E" w14:textId="77777777" w:rsidR="0062582F" w:rsidRPr="00CA05DC" w:rsidRDefault="00000000">
      <w:pPr>
        <w:spacing w:line="600" w:lineRule="exact"/>
        <w:ind w:firstLineChars="200" w:firstLine="640"/>
        <w:rPr>
          <w:rFonts w:ascii="Times New Roman" w:eastAsia="仿宋_GB2312" w:hAnsi="Times New Roman" w:cs="Times New Roman"/>
          <w:sz w:val="32"/>
          <w14:ligatures w14:val="none"/>
        </w:rPr>
      </w:pPr>
      <w:r w:rsidRPr="00CA05DC">
        <w:rPr>
          <w:rFonts w:ascii="楷体" w:eastAsia="楷体" w:hAnsi="楷体" w:cs="Times New Roman" w:hint="eastAsia"/>
          <w:bCs/>
          <w:sz w:val="32"/>
          <w14:ligatures w14:val="none"/>
        </w:rPr>
        <w:t>严格防洪排涝标准。</w:t>
      </w:r>
      <w:r w:rsidRPr="00CA05DC">
        <w:rPr>
          <w:rFonts w:ascii="Times New Roman" w:eastAsia="仿宋_GB2312" w:hAnsi="Times New Roman" w:cs="Times New Roman" w:hint="eastAsia"/>
          <w:sz w:val="32"/>
          <w14:ligatures w14:val="none"/>
        </w:rPr>
        <w:t>协同全域防洪格局，将长江干堤东至段</w:t>
      </w:r>
      <w:r w:rsidRPr="00CA05DC">
        <w:rPr>
          <w:rFonts w:ascii="Times New Roman" w:eastAsia="仿宋_GB2312" w:hAnsi="Times New Roman" w:cs="Times New Roman"/>
          <w:sz w:val="32"/>
          <w14:ligatures w14:val="none"/>
        </w:rPr>
        <w:t>3</w:t>
      </w:r>
      <w:r w:rsidRPr="00CA05DC">
        <w:rPr>
          <w:rFonts w:ascii="Times New Roman" w:eastAsia="仿宋_GB2312" w:hAnsi="Times New Roman" w:cs="Times New Roman" w:hint="eastAsia"/>
          <w:sz w:val="32"/>
          <w14:ligatures w14:val="none"/>
        </w:rPr>
        <w:t>级以下堤防等级提升到</w:t>
      </w:r>
      <w:r w:rsidRPr="00CA05DC">
        <w:rPr>
          <w:rFonts w:ascii="Times New Roman" w:eastAsia="仿宋_GB2312" w:hAnsi="Times New Roman" w:cs="Times New Roman"/>
          <w:sz w:val="32"/>
          <w14:ligatures w14:val="none"/>
        </w:rPr>
        <w:t>3</w:t>
      </w:r>
      <w:r w:rsidRPr="00CA05DC">
        <w:rPr>
          <w:rFonts w:ascii="Times New Roman" w:eastAsia="仿宋_GB2312" w:hAnsi="Times New Roman" w:cs="Times New Roman" w:hint="eastAsia"/>
          <w:sz w:val="32"/>
          <w14:ligatures w14:val="none"/>
        </w:rPr>
        <w:t>级或</w:t>
      </w:r>
      <w:r w:rsidRPr="00CA05DC">
        <w:rPr>
          <w:rFonts w:ascii="Times New Roman" w:eastAsia="仿宋_GB2312" w:hAnsi="Times New Roman" w:cs="Times New Roman"/>
          <w:sz w:val="32"/>
          <w14:ligatures w14:val="none"/>
        </w:rPr>
        <w:t>2</w:t>
      </w:r>
      <w:r w:rsidRPr="00CA05DC">
        <w:rPr>
          <w:rFonts w:ascii="Times New Roman" w:eastAsia="仿宋_GB2312" w:hAnsi="Times New Roman" w:cs="Times New Roman" w:hint="eastAsia"/>
          <w:sz w:val="32"/>
          <w14:ligatures w14:val="none"/>
        </w:rPr>
        <w:t>级，城区段防洪标准为</w:t>
      </w:r>
      <w:r w:rsidRPr="00CA05DC">
        <w:rPr>
          <w:rFonts w:ascii="Times New Roman" w:eastAsia="仿宋_GB2312" w:hAnsi="Times New Roman" w:cs="Times New Roman"/>
          <w:sz w:val="32"/>
          <w14:ligatures w14:val="none"/>
        </w:rPr>
        <w:t xml:space="preserve"> 50 </w:t>
      </w:r>
      <w:r w:rsidRPr="00CA05DC">
        <w:rPr>
          <w:rFonts w:ascii="Times New Roman" w:eastAsia="仿宋_GB2312" w:hAnsi="Times New Roman" w:cs="Times New Roman" w:hint="eastAsia"/>
          <w:sz w:val="32"/>
          <w14:ligatures w14:val="none"/>
        </w:rPr>
        <w:t>年一遇、建制镇为</w:t>
      </w:r>
      <w:r w:rsidRPr="00CA05DC">
        <w:rPr>
          <w:rFonts w:ascii="Times New Roman" w:eastAsia="仿宋_GB2312" w:hAnsi="Times New Roman" w:cs="Times New Roman"/>
          <w:sz w:val="32"/>
          <w14:ligatures w14:val="none"/>
        </w:rPr>
        <w:t xml:space="preserve">20 </w:t>
      </w:r>
      <w:r w:rsidRPr="00CA05DC">
        <w:rPr>
          <w:rFonts w:ascii="Times New Roman" w:eastAsia="仿宋_GB2312" w:hAnsi="Times New Roman" w:cs="Times New Roman" w:hint="eastAsia"/>
          <w:sz w:val="32"/>
          <w14:ligatures w14:val="none"/>
        </w:rPr>
        <w:t>年一遇；排涝标准</w:t>
      </w:r>
      <w:r w:rsidRPr="00CA05DC">
        <w:rPr>
          <w:rFonts w:ascii="Times New Roman" w:eastAsia="仿宋_GB2312" w:hAnsi="Times New Roman" w:cs="Times New Roman"/>
          <w:sz w:val="32"/>
          <w14:ligatures w14:val="none"/>
        </w:rPr>
        <w:t xml:space="preserve"> 20 </w:t>
      </w:r>
      <w:r w:rsidRPr="00CA05DC">
        <w:rPr>
          <w:rFonts w:ascii="Times New Roman" w:eastAsia="仿宋_GB2312" w:hAnsi="Times New Roman" w:cs="Times New Roman" w:hint="eastAsia"/>
          <w:sz w:val="32"/>
          <w14:ligatures w14:val="none"/>
        </w:rPr>
        <w:t>年一遇；农村排涝标</w:t>
      </w:r>
      <w:r w:rsidRPr="00CA05DC">
        <w:rPr>
          <w:rFonts w:ascii="Times New Roman" w:eastAsia="仿宋_GB2312" w:hAnsi="Times New Roman" w:cs="Times New Roman" w:hint="eastAsia"/>
          <w:sz w:val="32"/>
          <w14:ligatures w14:val="none"/>
        </w:rPr>
        <w:lastRenderedPageBreak/>
        <w:t>准总体达到</w:t>
      </w:r>
      <w:r w:rsidRPr="00CA05DC">
        <w:rPr>
          <w:rFonts w:ascii="Times New Roman" w:eastAsia="仿宋_GB2312" w:hAnsi="Times New Roman" w:cs="Times New Roman"/>
          <w:sz w:val="32"/>
          <w14:ligatures w14:val="none"/>
        </w:rPr>
        <w:t xml:space="preserve"> 10</w:t>
      </w:r>
      <w:r w:rsidRPr="00CA05DC">
        <w:rPr>
          <w:rFonts w:ascii="Times New Roman" w:eastAsia="仿宋_GB2312" w:hAnsi="Times New Roman" w:cs="Times New Roman" w:hint="eastAsia"/>
          <w:sz w:val="32"/>
          <w14:ligatures w14:val="none"/>
        </w:rPr>
        <w:t>年一遇标准。</w:t>
      </w:r>
    </w:p>
    <w:p w14:paraId="5DE261EF" w14:textId="3DAAA7DD" w:rsidR="0062582F" w:rsidRDefault="00000000">
      <w:pPr>
        <w:spacing w:line="600" w:lineRule="exact"/>
        <w:ind w:firstLineChars="200" w:firstLine="640"/>
        <w:rPr>
          <w:rFonts w:ascii="Times New Roman" w:eastAsia="仿宋_GB2312" w:hAnsi="Times New Roman" w:cs="Times New Roman"/>
          <w:sz w:val="32"/>
          <w14:ligatures w14:val="none"/>
        </w:rPr>
      </w:pPr>
      <w:r>
        <w:rPr>
          <w:rFonts w:ascii="楷体" w:eastAsia="楷体" w:hAnsi="楷体" w:cs="Times New Roman" w:hint="eastAsia"/>
          <w:bCs/>
          <w:sz w:val="32"/>
          <w14:ligatures w14:val="none"/>
        </w:rPr>
        <w:t>提高地震灾害防治能力。</w:t>
      </w:r>
      <w:bookmarkStart w:id="115" w:name="_Hlk159618960"/>
      <w:r>
        <w:rPr>
          <w:rFonts w:ascii="Times New Roman" w:eastAsia="仿宋_GB2312" w:hAnsi="Times New Roman" w:cs="Times New Roman"/>
          <w:sz w:val="32"/>
          <w:szCs w:val="21"/>
          <w14:ligatures w14:val="none"/>
        </w:rPr>
        <w:t>新建、扩建、改建建设工程，必须达到抗震设防要求。学校、医院、大型商业设施、大型体育设施等重要建（构）筑物在此基础上适当提高抗震设防标准。</w:t>
      </w:r>
      <w:bookmarkEnd w:id="115"/>
    </w:p>
    <w:p w14:paraId="50D3F407" w14:textId="56F6964F"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bCs/>
          <w:sz w:val="32"/>
          <w14:ligatures w14:val="none"/>
        </w:rPr>
        <w:t>提高地质灾害防治能力。</w:t>
      </w:r>
      <w:r>
        <w:rPr>
          <w:rFonts w:ascii="Times New Roman" w:eastAsia="仿宋_GB2312" w:hAnsi="Times New Roman" w:cs="Times New Roman" w:hint="eastAsia"/>
          <w:sz w:val="32"/>
          <w:szCs w:val="32"/>
          <w14:ligatures w14:val="none"/>
        </w:rPr>
        <w:t>加强地质灾害重点区域防范，以易发区为重点，重点防范城镇、学校、交通干线、重大水利水电工程、风景名胜等所在地的崩塌、滑坡、地面塌陷灾害，</w:t>
      </w:r>
      <w:r>
        <w:rPr>
          <w:rFonts w:ascii="仿宋_GB2312" w:eastAsia="仿宋_GB2312" w:hAnsi="仿宋_GB2312" w:cs="Times New Roman" w:hint="eastAsia"/>
          <w:sz w:val="32"/>
          <w:szCs w:val="32"/>
          <w14:ligatures w14:val="none"/>
        </w:rPr>
        <w:t>完善群策群防体系，对灾害隐患点实施搬迁避让，对威胁道路安全的地质灾害隐患点进行勘查治理。</w:t>
      </w:r>
    </w:p>
    <w:p w14:paraId="6E458117" w14:textId="77777777" w:rsidR="0062582F" w:rsidRDefault="00000000">
      <w:pPr>
        <w:spacing w:line="600" w:lineRule="exact"/>
        <w:ind w:firstLineChars="200" w:firstLine="640"/>
        <w:rPr>
          <w:rFonts w:ascii="楷体" w:eastAsia="楷体" w:hAnsi="楷体" w:cs="Times New Roman" w:hint="eastAsia"/>
          <w:bCs/>
          <w:color w:val="FF0000"/>
          <w:sz w:val="32"/>
          <w14:ligatures w14:val="none"/>
        </w:rPr>
      </w:pPr>
      <w:r>
        <w:rPr>
          <w:rFonts w:ascii="楷体" w:eastAsia="楷体" w:hAnsi="楷体" w:cs="Times New Roman" w:hint="eastAsia"/>
          <w:bCs/>
          <w:sz w:val="32"/>
          <w14:ligatures w14:val="none"/>
        </w:rPr>
        <w:t>严格划定化工园区控制线。</w:t>
      </w:r>
      <w:r>
        <w:rPr>
          <w:rFonts w:ascii="Times New Roman" w:eastAsia="仿宋_GB2312" w:hAnsi="Times New Roman" w:cs="Times New Roman" w:hint="eastAsia"/>
          <w:sz w:val="32"/>
          <w:szCs w:val="32"/>
          <w14:ligatures w14:val="none"/>
        </w:rPr>
        <w:t>严格控制化工园区周边土地开发利用，科学划定安全控制线，加强安全控制线的实际应用和长效管理。安全控制线范围内的开发建设项目应经过安全风险评估，满足安全风险控制要求。</w:t>
      </w:r>
    </w:p>
    <w:p w14:paraId="7B76334E" w14:textId="77777777" w:rsidR="0062582F" w:rsidRDefault="00000000">
      <w:pPr>
        <w:widowControl/>
        <w:jc w:val="left"/>
        <w:rPr>
          <w:rFonts w:ascii="方正小标宋简体" w:eastAsia="方正小标宋简体" w:hAnsi="Times New Roman" w:cs="Times New Roman"/>
          <w:b/>
          <w:bCs/>
          <w:kern w:val="44"/>
          <w:sz w:val="44"/>
          <w:szCs w:val="44"/>
          <w14:ligatures w14:val="none"/>
        </w:rPr>
      </w:pPr>
      <w:bookmarkStart w:id="116" w:name="_Toc122522386"/>
      <w:r>
        <w:rPr>
          <w:rFonts w:ascii="方正小标宋简体" w:eastAsia="方正小标宋简体" w:hAnsi="Times New Roman" w:cs="Times New Roman"/>
          <w:b/>
          <w:bCs/>
          <w:kern w:val="44"/>
          <w:sz w:val="44"/>
          <w:szCs w:val="44"/>
          <w14:ligatures w14:val="none"/>
        </w:rPr>
        <w:br w:type="page"/>
      </w:r>
    </w:p>
    <w:p w14:paraId="009B4388"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117" w:name="_Toc164695122"/>
      <w:r>
        <w:rPr>
          <w:rFonts w:ascii="方正小标宋简体" w:eastAsia="方正小标宋简体" w:hAnsi="Times New Roman" w:cs="Times New Roman" w:hint="eastAsia"/>
          <w:b/>
          <w:bCs/>
          <w:kern w:val="44"/>
          <w:sz w:val="44"/>
          <w:szCs w:val="44"/>
          <w14:ligatures w14:val="none"/>
        </w:rPr>
        <w:lastRenderedPageBreak/>
        <w:t>第十章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融入区域格局，提升开放联动水平</w:t>
      </w:r>
      <w:bookmarkEnd w:id="116"/>
      <w:bookmarkEnd w:id="117"/>
    </w:p>
    <w:p w14:paraId="5F7A6630" w14:textId="77777777" w:rsidR="0062582F" w:rsidRDefault="00000000">
      <w:pPr>
        <w:spacing w:before="48" w:line="600" w:lineRule="exact"/>
        <w:ind w:firstLineChars="200" w:firstLine="640"/>
        <w:rPr>
          <w:rFonts w:ascii="Times New Roman" w:eastAsia="仿宋" w:hAnsi="Times New Roman" w:cs="Times New Roman"/>
          <w:kern w:val="0"/>
          <w:sz w:val="32"/>
          <w14:ligatures w14:val="none"/>
        </w:rPr>
      </w:pPr>
      <w:r>
        <w:rPr>
          <w:rFonts w:ascii="Times New Roman" w:eastAsia="仿宋_GB2312" w:hAnsi="仿宋" w:cs="Times New Roman"/>
          <w:kern w:val="0"/>
          <w:sz w:val="32"/>
          <w:szCs w:val="32"/>
          <w:lang w:bidi="ar"/>
          <w14:ligatures w14:val="none"/>
        </w:rPr>
        <w:t>落实长三角一体化发展、长江经济带发展、中部</w:t>
      </w:r>
      <w:r>
        <w:rPr>
          <w:rFonts w:ascii="Times New Roman" w:eastAsia="仿宋_GB2312" w:hAnsi="仿宋" w:cs="Times New Roman" w:hint="eastAsia"/>
          <w:kern w:val="0"/>
          <w:sz w:val="32"/>
          <w:szCs w:val="32"/>
          <w:lang w:bidi="ar"/>
          <w14:ligatures w14:val="none"/>
        </w:rPr>
        <w:t>崛起</w:t>
      </w:r>
      <w:r>
        <w:rPr>
          <w:rFonts w:ascii="Times New Roman" w:eastAsia="仿宋_GB2312" w:hAnsi="仿宋" w:cs="Times New Roman"/>
          <w:kern w:val="0"/>
          <w:sz w:val="32"/>
          <w:szCs w:val="32"/>
          <w:lang w:bidi="ar"/>
          <w14:ligatures w14:val="none"/>
        </w:rPr>
        <w:t>高质量发展等区域重大战略，发挥</w:t>
      </w:r>
      <w:r>
        <w:rPr>
          <w:rFonts w:ascii="Times New Roman" w:eastAsia="仿宋_GB2312" w:hAnsi="仿宋" w:cs="Times New Roman" w:hint="eastAsia"/>
          <w:kern w:val="0"/>
          <w:sz w:val="32"/>
          <w:szCs w:val="32"/>
          <w:lang w:bidi="ar"/>
          <w14:ligatures w14:val="none"/>
        </w:rPr>
        <w:t>东至县</w:t>
      </w:r>
      <w:r>
        <w:rPr>
          <w:rFonts w:ascii="仿宋" w:eastAsia="仿宋" w:hAnsi="仿宋" w:cs="Times New Roman" w:hint="eastAsia"/>
          <w:kern w:val="0"/>
          <w:sz w:val="32"/>
          <w:szCs w:val="30"/>
          <w14:ligatures w14:val="none"/>
        </w:rPr>
        <w:t>长三角地区和长江中游城市群的节点地区作用，加强与沿江市县协作联动，支撑建设省际交接县域门户。</w:t>
      </w:r>
      <w:r>
        <w:rPr>
          <w:rFonts w:ascii="仿宋" w:eastAsia="仿宋" w:hAnsi="仿宋" w:cs="Times New Roman"/>
          <w:kern w:val="0"/>
          <w:sz w:val="32"/>
          <w:szCs w:val="30"/>
          <w14:ligatures w14:val="none"/>
        </w:rPr>
        <w:t xml:space="preserve"> </w:t>
      </w:r>
    </w:p>
    <w:p w14:paraId="75AF189A"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18" w:name="_Toc164695123"/>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积极融入长三角一体化发展</w:t>
      </w:r>
      <w:bookmarkEnd w:id="118"/>
    </w:p>
    <w:p w14:paraId="594FB717" w14:textId="77777777" w:rsidR="0062582F" w:rsidRDefault="00000000">
      <w:pPr>
        <w:spacing w:line="600" w:lineRule="exact"/>
        <w:ind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14:ligatures w14:val="none"/>
        </w:rPr>
        <w:t>支撑融入长三角基础设施网络。</w:t>
      </w:r>
      <w:r>
        <w:rPr>
          <w:rFonts w:ascii="Times New Roman" w:eastAsia="仿宋_GB2312" w:hAnsi="Times New Roman" w:cs="Times New Roman"/>
          <w:sz w:val="32"/>
          <w:szCs w:val="32"/>
          <w14:ligatures w14:val="none"/>
        </w:rPr>
        <w:t>保障</w:t>
      </w:r>
      <w:r>
        <w:rPr>
          <w:rFonts w:ascii="Times New Roman" w:eastAsia="仿宋_GB2312" w:hAnsi="Times New Roman" w:cs="Times New Roman" w:hint="eastAsia"/>
          <w:sz w:val="32"/>
          <w:szCs w:val="32"/>
          <w14:ligatures w14:val="none"/>
        </w:rPr>
        <w:t>宿松至望江至宣城</w:t>
      </w:r>
      <w:r>
        <w:rPr>
          <w:rFonts w:ascii="Times New Roman" w:eastAsia="仿宋_GB2312" w:hAnsi="Times New Roman" w:cs="Times New Roman"/>
          <w:sz w:val="32"/>
          <w:szCs w:val="32"/>
          <w14:ligatures w14:val="none"/>
        </w:rPr>
        <w:t>铁路</w:t>
      </w:r>
      <w:r>
        <w:rPr>
          <w:rFonts w:ascii="Times New Roman" w:eastAsia="仿宋_GB2312" w:hAnsi="Times New Roman" w:cs="Times New Roman" w:hint="eastAsia"/>
          <w:sz w:val="32"/>
          <w:szCs w:val="32"/>
          <w14:ligatures w14:val="none"/>
        </w:rPr>
        <w:t>、池州至九江铁路（东至段）、六安景铁路（东至段）</w:t>
      </w:r>
      <w:r>
        <w:rPr>
          <w:rFonts w:ascii="Times New Roman" w:eastAsia="仿宋_GB2312" w:hAnsi="Times New Roman" w:cs="Times New Roman"/>
          <w:sz w:val="32"/>
          <w:szCs w:val="32"/>
          <w14:ligatures w14:val="none"/>
        </w:rPr>
        <w:t>等高铁通道建设，共建轨道上的长三角。</w:t>
      </w:r>
      <w:r>
        <w:rPr>
          <w:rFonts w:ascii="Times New Roman" w:eastAsia="仿宋_GB2312" w:hAnsi="Times New Roman" w:cs="Times New Roman" w:hint="eastAsia"/>
          <w:sz w:val="32"/>
          <w:szCs w:val="32"/>
          <w14:ligatures w14:val="none"/>
        </w:rPr>
        <w:t>落实</w:t>
      </w:r>
      <w:r>
        <w:rPr>
          <w:rFonts w:ascii="Times New Roman" w:eastAsia="仿宋_GB2312" w:hAnsi="Times New Roman" w:cs="Times New Roman"/>
          <w:sz w:val="32"/>
          <w:szCs w:val="32"/>
          <w14:ligatures w14:val="none"/>
        </w:rPr>
        <w:t>S36</w:t>
      </w:r>
      <w:r>
        <w:rPr>
          <w:rFonts w:ascii="Times New Roman" w:eastAsia="仿宋_GB2312" w:hAnsi="Times New Roman" w:cs="Times New Roman"/>
          <w:sz w:val="32"/>
          <w:szCs w:val="32"/>
          <w14:ligatures w14:val="none"/>
        </w:rPr>
        <w:t>宣城至东至高速、</w:t>
      </w:r>
      <w:r>
        <w:rPr>
          <w:rFonts w:ascii="Times New Roman" w:eastAsia="仿宋_GB2312" w:hAnsi="Times New Roman" w:cs="Times New Roman"/>
          <w:sz w:val="32"/>
          <w:szCs w:val="32"/>
          <w14:ligatures w14:val="none"/>
        </w:rPr>
        <w:t>S27</w:t>
      </w:r>
      <w:r>
        <w:rPr>
          <w:rFonts w:ascii="Times New Roman" w:eastAsia="仿宋_GB2312" w:hAnsi="Times New Roman" w:cs="Times New Roman"/>
          <w:sz w:val="32"/>
          <w:szCs w:val="32"/>
          <w14:ligatures w14:val="none"/>
        </w:rPr>
        <w:t>东至</w:t>
      </w:r>
      <w:r>
        <w:rPr>
          <w:rFonts w:ascii="Times New Roman" w:eastAsia="仿宋_GB2312" w:hAnsi="Times New Roman" w:cs="Times New Roman" w:hint="eastAsia"/>
          <w:sz w:val="32"/>
          <w:szCs w:val="32"/>
          <w14:ligatures w14:val="none"/>
        </w:rPr>
        <w:t>—</w:t>
      </w:r>
      <w:r>
        <w:rPr>
          <w:rFonts w:ascii="Times New Roman" w:eastAsia="仿宋_GB2312" w:hAnsi="Times New Roman" w:cs="Times New Roman"/>
          <w:sz w:val="32"/>
          <w:szCs w:val="32"/>
          <w14:ligatures w14:val="none"/>
        </w:rPr>
        <w:t>鄱阳高速、</w:t>
      </w:r>
      <w:r>
        <w:rPr>
          <w:rFonts w:ascii="Times New Roman" w:eastAsia="仿宋_GB2312" w:hAnsi="Times New Roman" w:cs="Times New Roman"/>
          <w:sz w:val="32"/>
          <w:szCs w:val="32"/>
          <w14:ligatures w14:val="none"/>
        </w:rPr>
        <w:t>S29</w:t>
      </w:r>
      <w:r>
        <w:rPr>
          <w:rFonts w:ascii="Times New Roman" w:eastAsia="仿宋_GB2312" w:hAnsi="Times New Roman" w:cs="Times New Roman"/>
          <w:sz w:val="32"/>
          <w:szCs w:val="32"/>
          <w14:ligatures w14:val="none"/>
        </w:rPr>
        <w:t>祁浮高速等新通道建设用地，进一步完善长三角高速公路网络。</w:t>
      </w:r>
      <w:r>
        <w:rPr>
          <w:rFonts w:ascii="Times New Roman" w:eastAsia="仿宋_GB2312" w:hAnsi="Times New Roman" w:cs="Times New Roman" w:hint="eastAsia"/>
          <w:sz w:val="32"/>
          <w:szCs w:val="32"/>
          <w14:ligatures w14:val="none"/>
        </w:rPr>
        <w:t>支持东至县通用机场建设</w:t>
      </w:r>
      <w:r>
        <w:rPr>
          <w:rFonts w:ascii="Times New Roman" w:eastAsia="仿宋_GB2312" w:hAnsi="Times New Roman" w:cs="Times New Roman"/>
          <w:sz w:val="32"/>
          <w:szCs w:val="32"/>
          <w14:ligatures w14:val="none"/>
        </w:rPr>
        <w:t>。加强</w:t>
      </w:r>
      <w:r>
        <w:rPr>
          <w:rFonts w:ascii="Times New Roman" w:eastAsia="仿宋_GB2312" w:hAnsi="Times New Roman" w:cs="Times New Roman" w:hint="eastAsia"/>
          <w:sz w:val="32"/>
          <w:szCs w:val="32"/>
          <w14:ligatures w14:val="none"/>
        </w:rPr>
        <w:t>香口</w:t>
      </w:r>
      <w:r>
        <w:rPr>
          <w:rFonts w:ascii="Times New Roman" w:eastAsia="仿宋_GB2312" w:hAnsi="Times New Roman" w:cs="Times New Roman"/>
          <w:sz w:val="32"/>
          <w:szCs w:val="32"/>
          <w14:ligatures w14:val="none"/>
        </w:rPr>
        <w:t>港</w:t>
      </w:r>
      <w:r>
        <w:rPr>
          <w:rFonts w:ascii="Times New Roman" w:eastAsia="仿宋_GB2312" w:hAnsi="Times New Roman" w:cs="Times New Roman" w:hint="eastAsia"/>
          <w:sz w:val="32"/>
          <w:szCs w:val="32"/>
          <w14:ligatures w14:val="none"/>
        </w:rPr>
        <w:t>、东流港、吉阳港以及大渡口港</w:t>
      </w:r>
      <w:r>
        <w:rPr>
          <w:rFonts w:ascii="Times New Roman" w:eastAsia="仿宋_GB2312" w:hAnsi="Times New Roman" w:cs="Times New Roman"/>
          <w:sz w:val="32"/>
          <w:szCs w:val="32"/>
          <w14:ligatures w14:val="none"/>
        </w:rPr>
        <w:t>与长三角地区</w:t>
      </w:r>
      <w:r>
        <w:rPr>
          <w:rFonts w:ascii="Times New Roman" w:eastAsia="仿宋_GB2312" w:hAnsi="Times New Roman" w:cs="Times New Roman" w:hint="eastAsia"/>
          <w:sz w:val="32"/>
          <w:szCs w:val="32"/>
          <w14:ligatures w14:val="none"/>
        </w:rPr>
        <w:t>其他</w:t>
      </w:r>
      <w:r>
        <w:rPr>
          <w:rFonts w:ascii="Times New Roman" w:eastAsia="仿宋_GB2312" w:hAnsi="Times New Roman" w:cs="Times New Roman"/>
          <w:sz w:val="32"/>
          <w:szCs w:val="32"/>
          <w14:ligatures w14:val="none"/>
        </w:rPr>
        <w:t>港口交通联系，支撑江海联运。</w:t>
      </w:r>
    </w:p>
    <w:p w14:paraId="622FE3F7" w14:textId="77777777" w:rsidR="0062582F" w:rsidRDefault="00000000">
      <w:pPr>
        <w:spacing w:line="600" w:lineRule="exact"/>
        <w:ind w:firstLineChars="200" w:firstLine="640"/>
        <w:jc w:val="left"/>
        <w:rPr>
          <w:rFonts w:ascii="仿宋" w:eastAsia="仿宋" w:hAnsi="仿宋" w:cs="Times New Roman" w:hint="eastAsia"/>
          <w:kern w:val="0"/>
          <w:sz w:val="32"/>
          <w:szCs w:val="30"/>
          <w14:ligatures w14:val="none"/>
        </w:rPr>
      </w:pPr>
      <w:r>
        <w:rPr>
          <w:rFonts w:ascii="Times New Roman" w:eastAsia="楷体" w:hAnsi="Times New Roman" w:cs="Times New Roman"/>
          <w:kern w:val="0"/>
          <w:sz w:val="32"/>
          <w:szCs w:val="30"/>
          <w14:ligatures w14:val="none"/>
        </w:rPr>
        <w:t>保障长三角协作</w:t>
      </w:r>
      <w:r>
        <w:rPr>
          <w:rFonts w:ascii="Times New Roman" w:eastAsia="楷体" w:hAnsi="Times New Roman" w:cs="Times New Roman" w:hint="eastAsia"/>
          <w:kern w:val="0"/>
          <w:sz w:val="32"/>
          <w:szCs w:val="30"/>
          <w14:ligatures w14:val="none"/>
        </w:rPr>
        <w:t>产业</w:t>
      </w:r>
      <w:r>
        <w:rPr>
          <w:rFonts w:ascii="Times New Roman" w:eastAsia="楷体" w:hAnsi="Times New Roman" w:cs="Times New Roman"/>
          <w:kern w:val="0"/>
          <w:sz w:val="32"/>
          <w:szCs w:val="30"/>
          <w14:ligatures w14:val="none"/>
        </w:rPr>
        <w:t>用地空间。</w:t>
      </w:r>
      <w:r>
        <w:rPr>
          <w:rFonts w:ascii="Times New Roman" w:eastAsia="仿宋" w:hAnsi="Times New Roman" w:cs="Times New Roman" w:hint="eastAsia"/>
          <w:sz w:val="32"/>
          <w:szCs w:val="30"/>
          <w14:ligatures w14:val="none"/>
        </w:rPr>
        <w:t>支持文旅大健康产业，深化长三角养老一体化试点，保障“度假式养老”用地需求。支持发展“旅游</w:t>
      </w:r>
      <w:r>
        <w:rPr>
          <w:rFonts w:ascii="Times New Roman" w:eastAsia="仿宋" w:hAnsi="Times New Roman" w:cs="Times New Roman"/>
          <w:sz w:val="32"/>
          <w:szCs w:val="30"/>
          <w14:ligatures w14:val="none"/>
        </w:rPr>
        <w:t>+</w:t>
      </w:r>
      <w:r>
        <w:rPr>
          <w:rFonts w:ascii="Times New Roman" w:eastAsia="仿宋" w:hAnsi="Times New Roman" w:cs="Times New Roman" w:hint="eastAsia"/>
          <w:sz w:val="32"/>
          <w:szCs w:val="30"/>
          <w14:ligatures w14:val="none"/>
        </w:rPr>
        <w:t>”新业态，加强与杭黄国际旅游廊道对接，加快创成国家全域旅游示范区。依托北纬</w:t>
      </w:r>
      <w:r>
        <w:rPr>
          <w:rFonts w:ascii="Times New Roman" w:eastAsia="仿宋" w:hAnsi="Times New Roman" w:cs="Times New Roman"/>
          <w:sz w:val="32"/>
          <w:szCs w:val="30"/>
          <w14:ligatures w14:val="none"/>
        </w:rPr>
        <w:t>30</w:t>
      </w:r>
      <w:r>
        <w:rPr>
          <w:rFonts w:ascii="Times New Roman" w:eastAsia="仿宋" w:hAnsi="Times New Roman" w:cs="Times New Roman" w:hint="eastAsia"/>
          <w:sz w:val="32"/>
          <w:szCs w:val="30"/>
          <w14:ligatures w14:val="none"/>
        </w:rPr>
        <w:t>°优越地理位置，支持发展“东至特色”高效农业，保障特色农产品用地空间</w:t>
      </w:r>
      <w:r>
        <w:rPr>
          <w:rFonts w:ascii="Times New Roman" w:eastAsia="仿宋_GB2312" w:hAnsi="Times New Roman" w:cs="Times New Roman" w:hint="eastAsia"/>
          <w:sz w:val="32"/>
          <w:szCs w:val="32"/>
          <w14:ligatures w14:val="none"/>
        </w:rPr>
        <w:t>。</w:t>
      </w:r>
    </w:p>
    <w:p w14:paraId="6249692C" w14:textId="77777777" w:rsidR="0062582F" w:rsidRDefault="00000000">
      <w:pPr>
        <w:spacing w:line="600" w:lineRule="exact"/>
        <w:ind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14:ligatures w14:val="none"/>
        </w:rPr>
        <w:t>共同建设沿江绿色生态廊道。</w:t>
      </w:r>
      <w:r>
        <w:rPr>
          <w:rFonts w:ascii="Times New Roman" w:eastAsia="仿宋_GB2312" w:hAnsi="Times New Roman" w:cs="Times New Roman"/>
          <w:sz w:val="32"/>
          <w:szCs w:val="32"/>
          <w14:ligatures w14:val="none"/>
        </w:rPr>
        <w:t>落实长江经济带发展战略，协同提升长江黄金水道功能，共抓长江大保护，推进流域水环境</w:t>
      </w:r>
      <w:r>
        <w:rPr>
          <w:rFonts w:ascii="Times New Roman" w:eastAsia="仿宋_GB2312" w:hAnsi="Times New Roman" w:cs="Times New Roman"/>
          <w:sz w:val="32"/>
          <w:szCs w:val="32"/>
          <w14:ligatures w14:val="none"/>
        </w:rPr>
        <w:lastRenderedPageBreak/>
        <w:t>综合治理，协同推进生态修复，实现区域生态环境共保联治。</w:t>
      </w:r>
    </w:p>
    <w:p w14:paraId="3554B326"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19" w:name="_Toc164695124"/>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促进大黄山世界级休闲度假康养旅游目的地建设</w:t>
      </w:r>
      <w:bookmarkEnd w:id="119"/>
    </w:p>
    <w:p w14:paraId="0D697D71" w14:textId="77777777" w:rsidR="0062582F" w:rsidRDefault="00000000">
      <w:pPr>
        <w:spacing w:line="600" w:lineRule="exact"/>
        <w:ind w:firstLineChars="200" w:firstLine="640"/>
        <w:jc w:val="left"/>
        <w:rPr>
          <w:rFonts w:ascii="仿宋" w:eastAsia="仿宋" w:hAnsi="仿宋" w:cs="Times New Roman" w:hint="eastAsia"/>
          <w:kern w:val="0"/>
          <w:sz w:val="32"/>
          <w:szCs w:val="30"/>
          <w14:ligatures w14:val="none"/>
        </w:rPr>
      </w:pPr>
      <w:r>
        <w:rPr>
          <w:rFonts w:ascii="Times New Roman" w:eastAsia="楷体" w:hAnsi="Times New Roman" w:cs="Times New Roman"/>
          <w:kern w:val="0"/>
          <w:sz w:val="32"/>
          <w:szCs w:val="30"/>
          <w14:ligatures w14:val="none"/>
        </w:rPr>
        <w:t>支持整体联动推进</w:t>
      </w:r>
      <w:r>
        <w:rPr>
          <w:rFonts w:ascii="Times New Roman" w:eastAsia="楷体" w:hAnsi="Times New Roman" w:cs="Times New Roman" w:hint="eastAsia"/>
          <w:kern w:val="0"/>
          <w:sz w:val="32"/>
          <w:szCs w:val="30"/>
          <w14:ligatures w14:val="none"/>
        </w:rPr>
        <w:t>大黄山</w:t>
      </w:r>
      <w:r>
        <w:rPr>
          <w:rFonts w:ascii="Times New Roman" w:eastAsia="楷体" w:hAnsi="Times New Roman" w:cs="Times New Roman"/>
          <w:kern w:val="0"/>
          <w:sz w:val="32"/>
          <w:szCs w:val="30"/>
          <w14:ligatures w14:val="none"/>
        </w:rPr>
        <w:t>世界级休闲度假</w:t>
      </w:r>
      <w:r>
        <w:rPr>
          <w:rFonts w:ascii="Times New Roman" w:eastAsia="楷体" w:hAnsi="Times New Roman" w:cs="Times New Roman" w:hint="eastAsia"/>
          <w:kern w:val="0"/>
          <w:sz w:val="32"/>
          <w:szCs w:val="30"/>
          <w14:ligatures w14:val="none"/>
        </w:rPr>
        <w:t>康养</w:t>
      </w:r>
      <w:r>
        <w:rPr>
          <w:rFonts w:ascii="Times New Roman" w:eastAsia="楷体" w:hAnsi="Times New Roman" w:cs="Times New Roman"/>
          <w:kern w:val="0"/>
          <w:sz w:val="32"/>
          <w:szCs w:val="30"/>
          <w14:ligatures w14:val="none"/>
        </w:rPr>
        <w:t>旅游目的地建设。</w:t>
      </w:r>
      <w:r>
        <w:rPr>
          <w:rFonts w:ascii="Times New Roman" w:eastAsia="仿宋" w:hAnsi="Times New Roman" w:cs="Times New Roman" w:hint="eastAsia"/>
          <w:sz w:val="32"/>
          <w:szCs w:val="30"/>
          <w14:ligatures w14:val="none"/>
        </w:rPr>
        <w:t>以文旅融合发展为主线，以长江文化、陶公文化、红色文化等地域特色文化为主导，整合升金湖、尧渡河沿线文旅资源，支持环升金湖生态旅游区建设，支撑东至“山水升金</w:t>
      </w:r>
      <w:r>
        <w:rPr>
          <w:rFonts w:ascii="Times New Roman" w:eastAsia="仿宋" w:hAnsi="Times New Roman" w:cs="Times New Roman" w:hint="eastAsia"/>
          <w:sz w:val="32"/>
          <w:szCs w:val="30"/>
          <w14:ligatures w14:val="none"/>
        </w:rPr>
        <w:t xml:space="preserve"> </w:t>
      </w:r>
      <w:r>
        <w:rPr>
          <w:rFonts w:ascii="Times New Roman" w:eastAsia="仿宋" w:hAnsi="Times New Roman" w:cs="Times New Roman" w:hint="eastAsia"/>
          <w:sz w:val="32"/>
          <w:szCs w:val="30"/>
          <w14:ligatures w14:val="none"/>
        </w:rPr>
        <w:t>和美东至”旅游品牌建设，着力打造以“美丽风景、美妙声音、美好生活”为主题的悦耳动听醉美乡村，为生态游览、休闲康养、体育健身、露营自驾、科考研学、红色体验等“</w:t>
      </w:r>
      <w:r>
        <w:rPr>
          <w:rFonts w:ascii="Times New Roman" w:eastAsia="仿宋" w:hAnsi="Times New Roman" w:cs="Times New Roman"/>
          <w:sz w:val="32"/>
          <w:szCs w:val="30"/>
          <w14:ligatures w14:val="none"/>
        </w:rPr>
        <w:t>+</w:t>
      </w:r>
      <w:r>
        <w:rPr>
          <w:rFonts w:ascii="Times New Roman" w:eastAsia="仿宋" w:hAnsi="Times New Roman" w:cs="Times New Roman" w:hint="eastAsia"/>
          <w:sz w:val="32"/>
          <w:szCs w:val="30"/>
          <w14:ligatures w14:val="none"/>
        </w:rPr>
        <w:t>旅游”新型业态提供空间保障。</w:t>
      </w:r>
    </w:p>
    <w:p w14:paraId="22FE1A37" w14:textId="77777777" w:rsidR="0062582F" w:rsidRDefault="00000000">
      <w:pPr>
        <w:spacing w:line="600" w:lineRule="exact"/>
        <w:ind w:firstLineChars="200" w:firstLine="640"/>
        <w:jc w:val="left"/>
        <w:rPr>
          <w:rFonts w:ascii="Times New Roman" w:eastAsia="仿宋" w:hAnsi="Times New Roman" w:cs="Times New Roman"/>
          <w:sz w:val="32"/>
          <w:szCs w:val="30"/>
          <w14:ligatures w14:val="none"/>
        </w:rPr>
      </w:pPr>
      <w:r>
        <w:rPr>
          <w:rFonts w:ascii="Times New Roman" w:eastAsia="楷体" w:hAnsi="Times New Roman" w:cs="Times New Roman" w:hint="eastAsia"/>
          <w:kern w:val="0"/>
          <w:sz w:val="32"/>
          <w:szCs w:val="30"/>
          <w14:ligatures w14:val="none"/>
        </w:rPr>
        <w:t>加强“快进慢游”旅游交通建设。</w:t>
      </w:r>
      <w:r>
        <w:rPr>
          <w:rFonts w:ascii="Times New Roman" w:eastAsia="仿宋" w:hAnsi="Times New Roman" w:cs="Times New Roman" w:hint="eastAsia"/>
          <w:sz w:val="32"/>
          <w:szCs w:val="30"/>
          <w14:ligatures w14:val="none"/>
        </w:rPr>
        <w:t>充分发挥位于皖赣鄂省际边界的区位优势，加快外部交通体系构建，积极融入省际一体化发展。支撑交通与旅游融合发展，保障全域化、网络化的旅游交通基础设施体系建设。以东至高速交通出口、东流古镇、尧渡古镇、舜城新区、花园乡等核心区为基点，打通前往主要旅游区、乡村旅游点的交通线路，保障重要景区景点停车场、旅游交通标识系统、旅游厕所、公共文化服务设施、卫生医疗配套等设施建设，为打造国家级全域旅游示范区品牌提供空间保障。</w:t>
      </w:r>
    </w:p>
    <w:p w14:paraId="0940725F" w14:textId="77777777" w:rsidR="0062582F" w:rsidRDefault="00000000">
      <w:pPr>
        <w:spacing w:line="600" w:lineRule="exact"/>
        <w:ind w:firstLineChars="200" w:firstLine="643"/>
        <w:jc w:val="center"/>
        <w:outlineLvl w:val="1"/>
        <w:rPr>
          <w:rFonts w:ascii="黑体" w:eastAsia="黑体" w:hAnsi="黑体" w:cs="Times New Roman" w:hint="eastAsia"/>
          <w:kern w:val="0"/>
          <w:sz w:val="32"/>
          <w:szCs w:val="30"/>
          <w14:ligatures w14:val="none"/>
        </w:rPr>
      </w:pPr>
      <w:bookmarkStart w:id="120" w:name="_Toc164695125"/>
      <w:r>
        <w:rPr>
          <w:rFonts w:ascii="黑体" w:eastAsia="黑体" w:hAnsi="黑体" w:cs="Times New Roman" w:hint="eastAsia"/>
          <w:b/>
          <w:bCs/>
          <w:sz w:val="32"/>
          <w:szCs w:val="32"/>
          <w14:ligatures w14:val="none"/>
        </w:rPr>
        <w:t>第三节 推进区域高质量发展</w:t>
      </w:r>
      <w:bookmarkEnd w:id="120"/>
    </w:p>
    <w:p w14:paraId="08705772" w14:textId="77777777" w:rsidR="0062582F" w:rsidRDefault="00000000">
      <w:pPr>
        <w:spacing w:line="600" w:lineRule="exact"/>
        <w:ind w:firstLineChars="200" w:firstLine="640"/>
        <w:rPr>
          <w:rFonts w:ascii="仿宋" w:eastAsia="仿宋" w:hAnsi="仿宋" w:cs="Times New Roman" w:hint="eastAsia"/>
          <w:kern w:val="0"/>
          <w:sz w:val="32"/>
          <w:szCs w:val="30"/>
          <w14:ligatures w14:val="none"/>
        </w:rPr>
      </w:pPr>
      <w:r>
        <w:rPr>
          <w:rFonts w:ascii="Times New Roman" w:eastAsia="楷体" w:hAnsi="Times New Roman" w:cs="Times New Roman" w:hint="eastAsia"/>
          <w:kern w:val="0"/>
          <w:sz w:val="32"/>
          <w:szCs w:val="30"/>
          <w14:ligatures w14:val="none"/>
        </w:rPr>
        <w:t>共同提升区域辐射带动作用。</w:t>
      </w:r>
      <w:r>
        <w:rPr>
          <w:rFonts w:ascii="Times New Roman" w:eastAsia="仿宋" w:hAnsi="Times New Roman" w:cs="Times New Roman" w:hint="eastAsia"/>
          <w:sz w:val="32"/>
          <w:szCs w:val="30"/>
          <w14:ligatures w14:val="none"/>
        </w:rPr>
        <w:t>全面推进与安庆“一江两岸，</w:t>
      </w:r>
      <w:r>
        <w:rPr>
          <w:rFonts w:ascii="Times New Roman" w:eastAsia="仿宋" w:hAnsi="Times New Roman" w:cs="Times New Roman" w:hint="eastAsia"/>
          <w:sz w:val="32"/>
          <w:szCs w:val="30"/>
          <w14:ligatures w14:val="none"/>
        </w:rPr>
        <w:lastRenderedPageBreak/>
        <w:t>拥江发展”，支持大渡口建设标准、建筑风貌等方面与安庆充分衔接。积极融入安庆“一带一轴一环三片”城市布局，打造独具特色的长江南岸新城天际线，使“一江两岸”相得益彰。推动香隅镇香口港区与望江县港口物流运输产业联动发展，探索香隅镇旅游资源与望江县旅游资源合作开发机制，结合</w:t>
      </w:r>
      <w:r>
        <w:rPr>
          <w:rFonts w:ascii="Times New Roman" w:eastAsia="仿宋" w:hAnsi="Times New Roman" w:cs="Times New Roman"/>
          <w:sz w:val="32"/>
          <w:szCs w:val="30"/>
          <w14:ligatures w14:val="none"/>
        </w:rPr>
        <w:t>318</w:t>
      </w:r>
      <w:r>
        <w:rPr>
          <w:rFonts w:ascii="Times New Roman" w:eastAsia="仿宋" w:hAnsi="Times New Roman" w:cs="Times New Roman" w:hint="eastAsia"/>
          <w:sz w:val="32"/>
          <w:szCs w:val="30"/>
          <w14:ligatures w14:val="none"/>
        </w:rPr>
        <w:t>国道完善旅游线路布局，与区域旅游线路充分衔接。</w:t>
      </w:r>
    </w:p>
    <w:p w14:paraId="58D754FA" w14:textId="77777777" w:rsidR="0062582F" w:rsidRDefault="00000000">
      <w:pPr>
        <w:spacing w:line="600" w:lineRule="exact"/>
        <w:ind w:firstLineChars="200" w:firstLine="640"/>
        <w:rPr>
          <w:rFonts w:ascii="仿宋" w:eastAsia="仿宋" w:hAnsi="仿宋" w:cs="Times New Roman" w:hint="eastAsia"/>
          <w:kern w:val="0"/>
          <w:sz w:val="32"/>
          <w:szCs w:val="30"/>
          <w14:ligatures w14:val="none"/>
        </w:rPr>
      </w:pPr>
      <w:r>
        <w:rPr>
          <w:rFonts w:ascii="Times New Roman" w:eastAsia="楷体" w:hAnsi="Times New Roman" w:cs="Times New Roman" w:hint="eastAsia"/>
          <w:kern w:val="0"/>
          <w:sz w:val="32"/>
          <w:szCs w:val="30"/>
          <w14:ligatures w14:val="none"/>
        </w:rPr>
        <w:t>共设区域基础设施。</w:t>
      </w:r>
      <w:r>
        <w:rPr>
          <w:rFonts w:ascii="Times New Roman" w:eastAsia="仿宋" w:hAnsi="Times New Roman" w:cs="Times New Roman" w:hint="eastAsia"/>
          <w:sz w:val="32"/>
          <w:szCs w:val="30"/>
          <w14:ligatures w14:val="none"/>
        </w:rPr>
        <w:t>协同推进基础设施互连互通。探索龙泉镇与石门街镇连片集中发展模式，实现公共服务、基础设施等共建共享，提升设施水平，合力打造东至县南部与鄱阳县北部乡镇服务核心。</w:t>
      </w:r>
    </w:p>
    <w:p w14:paraId="57E3ED3C" w14:textId="77777777" w:rsidR="0062582F" w:rsidRDefault="00000000">
      <w:pPr>
        <w:spacing w:line="600" w:lineRule="exact"/>
        <w:ind w:firstLineChars="200" w:firstLine="640"/>
        <w:rPr>
          <w:rFonts w:ascii="仿宋" w:eastAsia="仿宋" w:hAnsi="仿宋" w:cs="Times New Roman" w:hint="eastAsia"/>
          <w:kern w:val="0"/>
          <w:sz w:val="32"/>
          <w:szCs w:val="30"/>
          <w14:ligatures w14:val="none"/>
        </w:rPr>
      </w:pPr>
      <w:r>
        <w:rPr>
          <w:rFonts w:ascii="Times New Roman" w:eastAsia="楷体" w:hAnsi="Times New Roman" w:cs="Times New Roman" w:hint="eastAsia"/>
          <w:kern w:val="0"/>
          <w:sz w:val="32"/>
          <w:szCs w:val="30"/>
          <w14:ligatures w14:val="none"/>
        </w:rPr>
        <w:t>共促区域产业发展。</w:t>
      </w:r>
      <w:r>
        <w:rPr>
          <w:rFonts w:ascii="Times New Roman" w:eastAsia="仿宋" w:hAnsi="Times New Roman" w:cs="Times New Roman" w:hint="eastAsia"/>
          <w:sz w:val="32"/>
          <w:szCs w:val="30"/>
          <w14:ligatures w14:val="none"/>
        </w:rPr>
        <w:t>立足区位优势，打破行政壁垒，推进跨省合作发展，健全皖赣联系合作机制，重点加强与江西省景德镇、九江等地产业对接。保障文化旅游、体育交流、产业互补等合作项目的用地需求。</w:t>
      </w:r>
    </w:p>
    <w:p w14:paraId="5E10FEA5" w14:textId="77777777" w:rsidR="0062582F" w:rsidRDefault="00000000">
      <w:pPr>
        <w:spacing w:line="600" w:lineRule="exact"/>
        <w:ind w:firstLineChars="200" w:firstLine="640"/>
        <w:rPr>
          <w:rFonts w:ascii="仿宋" w:eastAsia="仿宋" w:hAnsi="仿宋" w:cs="Times New Roman" w:hint="eastAsia"/>
          <w:kern w:val="0"/>
          <w:sz w:val="32"/>
          <w:szCs w:val="30"/>
          <w14:ligatures w14:val="none"/>
        </w:rPr>
      </w:pPr>
      <w:r>
        <w:rPr>
          <w:rFonts w:ascii="Times New Roman" w:eastAsia="楷体" w:hAnsi="Times New Roman" w:cs="Times New Roman" w:hint="eastAsia"/>
          <w:kern w:val="0"/>
          <w:sz w:val="32"/>
          <w:szCs w:val="30"/>
          <w14:ligatures w14:val="none"/>
        </w:rPr>
        <w:t>共保区域生态环境。</w:t>
      </w:r>
      <w:r>
        <w:rPr>
          <w:rFonts w:ascii="Times New Roman" w:eastAsia="仿宋" w:hAnsi="Times New Roman" w:cs="Times New Roman" w:hint="eastAsia"/>
          <w:sz w:val="32"/>
          <w:szCs w:val="30"/>
          <w14:ligatures w14:val="none"/>
        </w:rPr>
        <w:t>协同保护安庆江豚省级自然保护区、加强大渡口等北部片区的生态空间管控，加快推进沿江绿色生态廊道建设。减少部分长江尾水排放口；全面取缔水源保护区、自然保护区、风景名胜区等生态底线区内的排污口；共建区域备用水源。</w:t>
      </w:r>
    </w:p>
    <w:p w14:paraId="4D05F6B4" w14:textId="77777777" w:rsidR="0062582F" w:rsidRDefault="00000000">
      <w:pPr>
        <w:spacing w:line="560" w:lineRule="exact"/>
        <w:ind w:firstLineChars="200" w:firstLine="640"/>
        <w:jc w:val="left"/>
        <w:rPr>
          <w:rFonts w:ascii="Times New Roman" w:eastAsia="仿宋" w:hAnsi="Times New Roman" w:cs="Times New Roman"/>
          <w:kern w:val="0"/>
          <w:sz w:val="32"/>
          <w:szCs w:val="30"/>
          <w14:ligatures w14:val="none"/>
        </w:rPr>
      </w:pPr>
      <w:r>
        <w:rPr>
          <w:rFonts w:ascii="仿宋" w:eastAsia="仿宋" w:hAnsi="仿宋" w:cs="Times New Roman"/>
          <w:kern w:val="0"/>
          <w:sz w:val="32"/>
          <w:szCs w:val="30"/>
          <w14:ligatures w14:val="none"/>
        </w:rPr>
        <w:br w:type="page"/>
      </w:r>
    </w:p>
    <w:p w14:paraId="78D62D68" w14:textId="77777777" w:rsidR="0062582F" w:rsidRDefault="00000000">
      <w:pPr>
        <w:keepNext/>
        <w:keepLines/>
        <w:spacing w:before="340" w:after="330" w:line="578" w:lineRule="auto"/>
        <w:jc w:val="center"/>
        <w:outlineLvl w:val="0"/>
        <w:rPr>
          <w:rFonts w:ascii="方正小标宋简体" w:eastAsia="方正小标宋简体" w:hAnsi="Times New Roman" w:cs="Times New Roman"/>
          <w:b/>
          <w:bCs/>
          <w:kern w:val="44"/>
          <w:sz w:val="44"/>
          <w:szCs w:val="44"/>
          <w14:ligatures w14:val="none"/>
        </w:rPr>
      </w:pPr>
      <w:bookmarkStart w:id="121" w:name="_Toc164695126"/>
      <w:r>
        <w:rPr>
          <w:rFonts w:ascii="方正小标宋简体" w:eastAsia="方正小标宋简体" w:hAnsi="Times New Roman" w:cs="Times New Roman" w:hint="eastAsia"/>
          <w:b/>
          <w:bCs/>
          <w:kern w:val="44"/>
          <w:sz w:val="44"/>
          <w:szCs w:val="44"/>
          <w14:ligatures w14:val="none"/>
        </w:rPr>
        <w:lastRenderedPageBreak/>
        <w:t>第十一章</w:t>
      </w:r>
      <w:r>
        <w:rPr>
          <w:rFonts w:ascii="方正小标宋简体" w:eastAsia="方正小标宋简体" w:hAnsi="Times New Roman" w:cs="Times New Roman"/>
          <w:b/>
          <w:bCs/>
          <w:kern w:val="44"/>
          <w:sz w:val="44"/>
          <w:szCs w:val="44"/>
          <w14:ligatures w14:val="none"/>
        </w:rPr>
        <w:t xml:space="preserve"> </w:t>
      </w:r>
      <w:r>
        <w:rPr>
          <w:rFonts w:ascii="方正小标宋简体" w:eastAsia="方正小标宋简体" w:hAnsi="Times New Roman" w:cs="Times New Roman" w:hint="eastAsia"/>
          <w:b/>
          <w:bCs/>
          <w:kern w:val="44"/>
          <w:sz w:val="44"/>
          <w:szCs w:val="44"/>
          <w14:ligatures w14:val="none"/>
        </w:rPr>
        <w:t>统筹规划实施管理，擘绘一张蓝图</w:t>
      </w:r>
      <w:bookmarkEnd w:id="121"/>
    </w:p>
    <w:p w14:paraId="4B98DCB3" w14:textId="77777777" w:rsidR="0062582F" w:rsidRDefault="00000000">
      <w:pPr>
        <w:widowControl/>
        <w:spacing w:beforeLines="100" w:before="312" w:afterLines="100" w:after="312" w:line="600" w:lineRule="exact"/>
        <w:ind w:firstLineChars="200" w:firstLine="640"/>
        <w:rPr>
          <w:rFonts w:ascii="Times New Roman" w:eastAsia="仿宋_GB2312" w:hAnsi="Times New Roman" w:cs="Times New Roman"/>
          <w:sz w:val="32"/>
          <w:szCs w:val="32"/>
          <w:lang w:bidi="ar"/>
          <w14:ligatures w14:val="none"/>
        </w:rPr>
      </w:pPr>
      <w:bookmarkStart w:id="122" w:name="_Toc122522392"/>
      <w:r>
        <w:rPr>
          <w:rFonts w:ascii="Times New Roman" w:eastAsia="仿宋_GB2312" w:hAnsi="Times New Roman" w:cs="Times New Roman"/>
          <w:sz w:val="32"/>
          <w:szCs w:val="32"/>
          <w:lang w:bidi="ar"/>
          <w14:ligatures w14:val="none"/>
        </w:rPr>
        <w:t>把党的领导贯彻到国土空间规划编制实施全过程各领域各环节，强化规划传导，用好国土空间规划</w:t>
      </w:r>
      <w:r>
        <w:rPr>
          <w:rFonts w:ascii="Times New Roman" w:eastAsia="仿宋_GB2312" w:hAnsi="Times New Roman" w:cs="Times New Roman"/>
          <w:sz w:val="32"/>
          <w:szCs w:val="32"/>
          <w:lang w:bidi="ar"/>
          <w14:ligatures w14:val="none"/>
        </w:rPr>
        <w:t>“</w:t>
      </w:r>
      <w:r>
        <w:rPr>
          <w:rFonts w:ascii="Times New Roman" w:eastAsia="仿宋_GB2312" w:hAnsi="Times New Roman" w:cs="Times New Roman"/>
          <w:sz w:val="32"/>
          <w:szCs w:val="32"/>
          <w:lang w:bidi="ar"/>
          <w14:ligatures w14:val="none"/>
        </w:rPr>
        <w:t>一张图</w:t>
      </w:r>
      <w:r>
        <w:rPr>
          <w:rFonts w:ascii="Times New Roman" w:eastAsia="仿宋_GB2312" w:hAnsi="Times New Roman" w:cs="Times New Roman"/>
          <w:sz w:val="32"/>
          <w:szCs w:val="32"/>
          <w:lang w:bidi="ar"/>
          <w14:ligatures w14:val="none"/>
        </w:rPr>
        <w:t>”</w:t>
      </w:r>
      <w:r>
        <w:rPr>
          <w:rFonts w:ascii="Times New Roman" w:eastAsia="仿宋_GB2312" w:hAnsi="Times New Roman" w:cs="Times New Roman"/>
          <w:sz w:val="32"/>
          <w:szCs w:val="32"/>
          <w:lang w:bidi="ar"/>
          <w14:ligatures w14:val="none"/>
        </w:rPr>
        <w:t>，完善规划实施政策和项目保障机制。</w:t>
      </w:r>
    </w:p>
    <w:p w14:paraId="4257AAD9" w14:textId="77777777" w:rsidR="0062582F" w:rsidRDefault="00000000">
      <w:pPr>
        <w:keepNext/>
        <w:keepLines/>
        <w:spacing w:before="260" w:after="260" w:line="600" w:lineRule="exact"/>
        <w:jc w:val="center"/>
        <w:outlineLvl w:val="1"/>
        <w:rPr>
          <w:rFonts w:ascii="黑体" w:eastAsia="黑体" w:hAnsi="黑体" w:cs="Times New Roman" w:hint="eastAsia"/>
          <w:b/>
          <w:bCs/>
          <w:sz w:val="32"/>
          <w:szCs w:val="32"/>
          <w14:ligatures w14:val="none"/>
        </w:rPr>
      </w:pPr>
      <w:bookmarkStart w:id="123" w:name="_Toc164695127"/>
      <w:r>
        <w:rPr>
          <w:rFonts w:ascii="黑体" w:eastAsia="黑体" w:hAnsi="黑体" w:cs="Times New Roman" w:hint="eastAsia"/>
          <w:b/>
          <w:bCs/>
          <w:sz w:val="32"/>
          <w:szCs w:val="32"/>
          <w14:ligatures w14:val="none"/>
        </w:rPr>
        <w:t>第一节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加强党的领导</w:t>
      </w:r>
      <w:bookmarkEnd w:id="123"/>
    </w:p>
    <w:p w14:paraId="38422F48" w14:textId="77777777" w:rsidR="0062582F" w:rsidRDefault="00000000">
      <w:pPr>
        <w:widowControl/>
        <w:spacing w:line="600" w:lineRule="exact"/>
        <w:ind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lang w:bidi="ar"/>
          <w14:ligatures w14:val="none"/>
        </w:rPr>
        <w:t>坚持党的全面领导。</w:t>
      </w:r>
      <w:r>
        <w:rPr>
          <w:rFonts w:ascii="仿宋_GB2312" w:eastAsia="仿宋_GB2312" w:hAnsi="Times New Roman" w:cs="Times New Roman" w:hint="eastAsia"/>
          <w:sz w:val="32"/>
          <w:szCs w:val="32"/>
          <w14:ligatures w14:val="none"/>
        </w:rPr>
        <w:t>深入学习贯彻习近平新时代中国特色社会主义思想，深刻领会</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两个确立</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的决定性意义，增强</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四个意识</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、坚定</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四个自信</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、做到</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两个维护</w:t>
      </w:r>
      <w:r>
        <w:rPr>
          <w:rFonts w:ascii="仿宋_GB2312" w:eastAsia="仿宋_GB2312" w:hAnsi="Times New Roman" w:cs="Times New Roman"/>
          <w:sz w:val="32"/>
          <w:szCs w:val="32"/>
          <w14:ligatures w14:val="none"/>
        </w:rPr>
        <w:t>”</w:t>
      </w:r>
      <w:r>
        <w:rPr>
          <w:rFonts w:ascii="仿宋_GB2312" w:eastAsia="仿宋_GB2312" w:hAnsi="Times New Roman" w:cs="Times New Roman" w:hint="eastAsia"/>
          <w:sz w:val="32"/>
          <w:szCs w:val="32"/>
          <w14:ligatures w14:val="none"/>
        </w:rPr>
        <w:t>，不断提高政治判断力、政治领悟力、政治执行力，充分发挥党总揽全局、协调各方的领导核心作用，把党的领导贯彻到国土空间规划编制实施全过程各领域各环节。</w:t>
      </w:r>
    </w:p>
    <w:p w14:paraId="5E1CBEF0" w14:textId="2509ED2F" w:rsidR="0062582F" w:rsidRDefault="00000000">
      <w:pPr>
        <w:spacing w:line="600" w:lineRule="exact"/>
        <w:ind w:leftChars="56" w:left="118" w:firstLineChars="200" w:firstLine="640"/>
        <w:rPr>
          <w:rFonts w:ascii="仿宋_GB2312" w:eastAsia="仿宋_GB2312" w:hAnsi="仿宋" w:cs="Times New Roman" w:hint="eastAsia"/>
          <w:b/>
          <w:bCs/>
          <w:color w:val="000000"/>
          <w:sz w:val="32"/>
          <w:szCs w:val="32"/>
          <w14:ligatures w14:val="none"/>
        </w:rPr>
      </w:pPr>
      <w:r>
        <w:rPr>
          <w:rFonts w:ascii="Times New Roman" w:eastAsia="楷体" w:hAnsi="Times New Roman" w:cs="Times New Roman"/>
          <w:sz w:val="32"/>
          <w:szCs w:val="32"/>
          <w:lang w:bidi="ar"/>
          <w14:ligatures w14:val="none"/>
        </w:rPr>
        <w:t>落实党委和政府国土空间规划管理主体责任</w:t>
      </w:r>
      <w:r>
        <w:rPr>
          <w:rFonts w:ascii="Times New Roman" w:eastAsia="楷体" w:hAnsi="Times New Roman" w:cs="Times New Roman" w:hint="eastAsia"/>
          <w:sz w:val="32"/>
          <w:szCs w:val="32"/>
          <w:lang w:bidi="ar"/>
          <w14:ligatures w14:val="none"/>
        </w:rPr>
        <w:t>。</w:t>
      </w:r>
      <w:r>
        <w:rPr>
          <w:rFonts w:ascii="Times New Roman" w:eastAsia="仿宋_GB2312" w:hAnsi="Times New Roman" w:cs="Times New Roman"/>
          <w:sz w:val="32"/>
          <w:szCs w:val="32"/>
          <w14:ligatures w14:val="none"/>
        </w:rPr>
        <w:t>坚持</w:t>
      </w:r>
      <w:r>
        <w:rPr>
          <w:rFonts w:ascii="Times New Roman" w:eastAsia="仿宋_GB2312" w:hAnsi="Times New Roman" w:cs="Times New Roman"/>
          <w:sz w:val="32"/>
          <w:szCs w:val="32"/>
          <w14:ligatures w14:val="none"/>
        </w:rPr>
        <w:t>“</w:t>
      </w:r>
      <w:r>
        <w:rPr>
          <w:rFonts w:ascii="Times New Roman" w:eastAsia="仿宋_GB2312" w:hAnsi="Times New Roman" w:cs="Times New Roman"/>
          <w:sz w:val="32"/>
          <w:szCs w:val="32"/>
          <w14:ligatures w14:val="none"/>
        </w:rPr>
        <w:t>多规合一</w:t>
      </w:r>
      <w:r>
        <w:rPr>
          <w:rFonts w:ascii="Times New Roman" w:eastAsia="仿宋_GB2312" w:hAnsi="Times New Roman" w:cs="Times New Roman"/>
          <w:sz w:val="32"/>
          <w:szCs w:val="32"/>
          <w14:ligatures w14:val="none"/>
        </w:rPr>
        <w:t>”</w:t>
      </w:r>
      <w:r>
        <w:rPr>
          <w:rFonts w:ascii="Times New Roman" w:eastAsia="仿宋_GB2312" w:hAnsi="Times New Roman" w:cs="Times New Roman"/>
          <w:sz w:val="32"/>
          <w:szCs w:val="32"/>
          <w14:ligatures w14:val="none"/>
        </w:rPr>
        <w:t>，不在国土空间规划体系之外另设其他空间规划。强化规划严肃性，规划一经批准，任何部门和个人不得随意修改、违规变更。</w:t>
      </w:r>
    </w:p>
    <w:p w14:paraId="0FD5D89A" w14:textId="77777777" w:rsidR="0062582F" w:rsidRDefault="00000000">
      <w:pPr>
        <w:spacing w:line="600" w:lineRule="exact"/>
        <w:ind w:leftChars="56" w:left="118"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lang w:bidi="ar"/>
          <w14:ligatures w14:val="none"/>
        </w:rPr>
        <w:t>建立国土空间规划委员会制度</w:t>
      </w:r>
      <w:r>
        <w:rPr>
          <w:rFonts w:ascii="Times New Roman" w:eastAsia="楷体" w:hAnsi="Times New Roman" w:cs="Times New Roman" w:hint="eastAsia"/>
          <w:sz w:val="32"/>
          <w:szCs w:val="32"/>
          <w:lang w:bidi="ar"/>
          <w14:ligatures w14:val="none"/>
        </w:rPr>
        <w:t>。</w:t>
      </w:r>
      <w:r>
        <w:rPr>
          <w:rFonts w:ascii="Times New Roman" w:eastAsia="仿宋_GB2312" w:hAnsi="Times New Roman" w:cs="Times New Roman"/>
          <w:sz w:val="32"/>
          <w:szCs w:val="32"/>
          <w14:ligatures w14:val="none"/>
        </w:rPr>
        <w:t>建立健全县级国土空间规划委员会制度。加强部门和地区间协同，进一步完善国土空间规划编制实施管理的配套政策，对国土空间编制实施管理重大问题进行统筹协调和决策，确保规划各项目标任务落地实施。建立规划实施的部门沟通协商机制，协调解决国土空间保护、</w:t>
      </w:r>
      <w:r>
        <w:rPr>
          <w:rFonts w:ascii="Times New Roman" w:eastAsia="仿宋_GB2312" w:hAnsi="Times New Roman" w:cs="Times New Roman"/>
          <w:sz w:val="32"/>
          <w:szCs w:val="32"/>
          <w14:ligatures w14:val="none"/>
        </w:rPr>
        <w:lastRenderedPageBreak/>
        <w:t>开发、利用和修复中的相关问题，确保国家、省级、市级</w:t>
      </w:r>
      <w:r>
        <w:rPr>
          <w:rFonts w:ascii="Times New Roman" w:eastAsia="仿宋_GB2312" w:hAnsi="Times New Roman" w:cs="Times New Roman" w:hint="eastAsia"/>
          <w:sz w:val="32"/>
          <w:szCs w:val="32"/>
          <w14:ligatures w14:val="none"/>
        </w:rPr>
        <w:t>、县级</w:t>
      </w:r>
      <w:r>
        <w:rPr>
          <w:rFonts w:ascii="Times New Roman" w:eastAsia="仿宋_GB2312" w:hAnsi="Times New Roman" w:cs="Times New Roman"/>
          <w:sz w:val="32"/>
          <w:szCs w:val="32"/>
          <w14:ligatures w14:val="none"/>
        </w:rPr>
        <w:t>重大决策部署落实到位。</w:t>
      </w:r>
    </w:p>
    <w:p w14:paraId="19E35680" w14:textId="77777777" w:rsidR="0062582F" w:rsidRDefault="00000000">
      <w:pPr>
        <w:keepNext/>
        <w:keepLines/>
        <w:spacing w:before="260" w:after="260" w:line="600" w:lineRule="exact"/>
        <w:ind w:leftChars="56" w:left="118"/>
        <w:jc w:val="center"/>
        <w:outlineLvl w:val="1"/>
        <w:rPr>
          <w:rFonts w:ascii="黑体" w:eastAsia="黑体" w:hAnsi="黑体" w:cs="Times New Roman" w:hint="eastAsia"/>
          <w:b/>
          <w:bCs/>
          <w:sz w:val="32"/>
          <w:szCs w:val="32"/>
          <w14:ligatures w14:val="none"/>
        </w:rPr>
      </w:pPr>
      <w:bookmarkStart w:id="124" w:name="_Toc164695128"/>
      <w:r>
        <w:rPr>
          <w:rFonts w:ascii="黑体" w:eastAsia="黑体" w:hAnsi="黑体" w:cs="Times New Roman" w:hint="eastAsia"/>
          <w:b/>
          <w:bCs/>
          <w:sz w:val="32"/>
          <w:szCs w:val="32"/>
          <w14:ligatures w14:val="none"/>
        </w:rPr>
        <w:t>第二节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健全法规标准和政策制度体系</w:t>
      </w:r>
      <w:bookmarkEnd w:id="124"/>
    </w:p>
    <w:p w14:paraId="417A3C13" w14:textId="7F1E0585" w:rsidR="0062582F" w:rsidRDefault="00000000">
      <w:pPr>
        <w:adjustRightInd w:val="0"/>
        <w:snapToGrid w:val="0"/>
        <w:spacing w:line="600" w:lineRule="exact"/>
        <w:ind w:leftChars="56" w:left="118" w:firstLineChars="200" w:firstLine="640"/>
        <w:rPr>
          <w:rFonts w:ascii="Times New Roman" w:eastAsia="仿宋_GB2312" w:hAnsi="Times New Roman" w:cs="Times New Roman"/>
          <w:sz w:val="32"/>
          <w:szCs w:val="32"/>
          <w:lang w:bidi="ar"/>
          <w14:ligatures w14:val="none"/>
        </w:rPr>
      </w:pPr>
      <w:bookmarkStart w:id="125" w:name="_Toc119322380"/>
      <w:bookmarkStart w:id="126" w:name="_Toc119329074"/>
      <w:r>
        <w:rPr>
          <w:rFonts w:ascii="Times New Roman" w:eastAsia="楷体" w:hAnsi="Times New Roman" w:cs="Times New Roman"/>
          <w:sz w:val="32"/>
          <w:szCs w:val="32"/>
          <w:lang w:bidi="ar"/>
          <w14:ligatures w14:val="none"/>
        </w:rPr>
        <w:t>完善主体功能区制度体系。</w:t>
      </w:r>
      <w:r>
        <w:rPr>
          <w:rFonts w:ascii="Times New Roman" w:eastAsia="仿宋_GB2312" w:hAnsi="Times New Roman" w:cs="Times New Roman"/>
          <w:sz w:val="32"/>
          <w:szCs w:val="32"/>
          <w:lang w:bidi="ar"/>
          <w14:ligatures w14:val="none"/>
        </w:rPr>
        <w:t>完善主体功能区名录动态管理机制，开展主体功能区实施情况监测评估和名录动态调整。强化政策协同保障，建立健全主体功能区实施机制，细化落实配套政策。</w:t>
      </w:r>
    </w:p>
    <w:p w14:paraId="095F7B00" w14:textId="77777777" w:rsidR="0062582F" w:rsidRDefault="00000000">
      <w:pPr>
        <w:widowControl/>
        <w:spacing w:line="600" w:lineRule="exact"/>
        <w:ind w:leftChars="56" w:left="118" w:firstLineChars="200" w:firstLine="640"/>
        <w:jc w:val="left"/>
        <w:rPr>
          <w:rFonts w:ascii="Times New Roman" w:eastAsia="仿宋_GB2312" w:hAnsi="Times New Roman" w:cs="Times New Roman"/>
          <w:sz w:val="32"/>
          <w:szCs w:val="32"/>
          <w:lang w:bidi="ar"/>
          <w14:ligatures w14:val="none"/>
        </w:rPr>
      </w:pPr>
      <w:r>
        <w:rPr>
          <w:rFonts w:ascii="Times New Roman" w:eastAsia="楷体" w:hAnsi="Times New Roman" w:cs="Times New Roman"/>
          <w:sz w:val="32"/>
          <w:szCs w:val="32"/>
          <w:lang w:bidi="ar"/>
          <w14:ligatures w14:val="none"/>
        </w:rPr>
        <w:t>强化耕地保护政策。</w:t>
      </w:r>
      <w:r>
        <w:rPr>
          <w:rFonts w:ascii="Times New Roman" w:eastAsia="仿宋_GB2312" w:hAnsi="Times New Roman" w:cs="Times New Roman"/>
          <w:sz w:val="32"/>
          <w:szCs w:val="32"/>
          <w:lang w:bidi="ar"/>
          <w14:ligatures w14:val="none"/>
        </w:rPr>
        <w:t>完善耕地保护和粮食安全责任目标考核制度，层层签订耕地保护和粮食安全责任书</w:t>
      </w:r>
      <w:r>
        <w:rPr>
          <w:rFonts w:ascii="Times New Roman" w:eastAsia="仿宋_GB2312" w:hAnsi="Times New Roman" w:cs="Times New Roman"/>
          <w:sz w:val="32"/>
          <w:szCs w:val="32"/>
          <w14:ligatures w14:val="none"/>
        </w:rPr>
        <w:t>，实行党政同责、终身追责</w:t>
      </w:r>
      <w:r>
        <w:rPr>
          <w:rFonts w:ascii="Times New Roman" w:eastAsia="仿宋_GB2312" w:hAnsi="Times New Roman" w:cs="Times New Roman"/>
          <w:sz w:val="32"/>
          <w:szCs w:val="32"/>
          <w:lang w:bidi="ar"/>
          <w14:ligatures w14:val="none"/>
        </w:rPr>
        <w:t>。将耕地保护和粮食安全责任完成情况纳入党政领导干部综合考核评价内容。建立补充耕地储备库，严格入库耕地数量、质量核查与监管。</w:t>
      </w:r>
    </w:p>
    <w:p w14:paraId="2EFE572A" w14:textId="3DC6C00B" w:rsidR="0062582F" w:rsidRDefault="00000000">
      <w:pPr>
        <w:spacing w:line="600" w:lineRule="exact"/>
        <w:ind w:firstLineChars="200" w:firstLine="640"/>
        <w:rPr>
          <w:rFonts w:ascii="仿宋_GB2312" w:eastAsia="仿宋_GB2312" w:hAnsi="仿宋_GB2312" w:cs="Times New Roman" w:hint="eastAsia"/>
          <w:sz w:val="32"/>
          <w:szCs w:val="32"/>
          <w14:ligatures w14:val="none"/>
        </w:rPr>
      </w:pPr>
      <w:r>
        <w:rPr>
          <w:rFonts w:ascii="楷体" w:eastAsia="楷体" w:hAnsi="楷体" w:cs="Times New Roman" w:hint="eastAsia"/>
          <w:sz w:val="32"/>
          <w14:ligatures w14:val="none"/>
        </w:rPr>
        <w:t>完善一二三产业融合发展机制。</w:t>
      </w:r>
      <w:r>
        <w:rPr>
          <w:rFonts w:ascii="仿宋_GB2312" w:eastAsia="仿宋_GB2312" w:hAnsi="仿宋_GB2312" w:cs="Times New Roman" w:hint="eastAsia"/>
          <w:sz w:val="32"/>
          <w:szCs w:val="32"/>
          <w14:ligatures w14:val="none"/>
        </w:rPr>
        <w:t>创新收益分享模式，加快推广多种利益联结方式，积极发展订单农业，提高农户收益。大力支持企业建设规模化、标准化特色种植基地，积极推进国家级农村综合改革标准化试点建设，保障农村一二三产业融合发展空间。</w:t>
      </w:r>
    </w:p>
    <w:p w14:paraId="6E62A785" w14:textId="77777777" w:rsidR="0062582F" w:rsidRDefault="00000000">
      <w:pPr>
        <w:widowControl/>
        <w:spacing w:line="600" w:lineRule="exact"/>
        <w:ind w:leftChars="56" w:left="118" w:firstLineChars="200" w:firstLine="640"/>
        <w:jc w:val="left"/>
        <w:rPr>
          <w:rFonts w:ascii="Times New Roman" w:eastAsia="仿宋_GB2312" w:hAnsi="Times New Roman" w:cs="Times New Roman"/>
          <w:sz w:val="32"/>
          <w:szCs w:val="32"/>
          <w:lang w:bidi="ar"/>
          <w14:ligatures w14:val="none"/>
        </w:rPr>
      </w:pPr>
      <w:r>
        <w:rPr>
          <w:rFonts w:ascii="Times New Roman" w:eastAsia="楷体" w:hAnsi="Times New Roman" w:cs="Times New Roman"/>
          <w:sz w:val="32"/>
          <w:szCs w:val="32"/>
          <w:lang w:bidi="ar"/>
          <w14:ligatures w14:val="none"/>
        </w:rPr>
        <w:t>建立生态产品价值实现机制。</w:t>
      </w:r>
      <w:r>
        <w:rPr>
          <w:rFonts w:ascii="Times New Roman" w:eastAsia="仿宋_GB2312" w:hAnsi="Times New Roman" w:cs="Times New Roman"/>
          <w:sz w:val="32"/>
          <w:szCs w:val="32"/>
          <w:lang w:bidi="ar"/>
          <w14:ligatures w14:val="none"/>
        </w:rPr>
        <w:t>制定生态产品价值核算标准，推动生态资源权益交易，建立注重生态产品价值实现的考核体系。探索在省内开展生态产品价值实现机制试点。</w:t>
      </w:r>
    </w:p>
    <w:bookmarkEnd w:id="125"/>
    <w:bookmarkEnd w:id="126"/>
    <w:p w14:paraId="59C17B2C" w14:textId="1373C247" w:rsidR="0062582F" w:rsidRDefault="00000000">
      <w:pPr>
        <w:spacing w:line="600" w:lineRule="exact"/>
        <w:ind w:leftChars="56" w:left="118"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14:ligatures w14:val="none"/>
        </w:rPr>
        <w:t>健全自然资源用途管制制度。</w:t>
      </w:r>
      <w:r>
        <w:rPr>
          <w:rFonts w:ascii="Times New Roman" w:eastAsia="仿宋_GB2312" w:hAnsi="Times New Roman" w:cs="Times New Roman"/>
          <w:sz w:val="32"/>
          <w:szCs w:val="32"/>
          <w14:ligatures w14:val="none"/>
        </w:rPr>
        <w:t>落实耕地和永久基本农田保</w:t>
      </w:r>
      <w:r>
        <w:rPr>
          <w:rFonts w:ascii="Times New Roman" w:eastAsia="仿宋_GB2312" w:hAnsi="Times New Roman" w:cs="Times New Roman"/>
          <w:sz w:val="32"/>
          <w:szCs w:val="32"/>
          <w14:ligatures w14:val="none"/>
        </w:rPr>
        <w:lastRenderedPageBreak/>
        <w:t>护红线、生态保护红线、城镇开发边界三条控制线管控制度，实施全域全类型统一的国土空间用途管制。加强土地利用年度计划管理，统筹增量和存量，完善规划实施的时序管控。</w:t>
      </w:r>
    </w:p>
    <w:p w14:paraId="6E9F2983" w14:textId="77777777" w:rsidR="0062582F" w:rsidRDefault="00000000">
      <w:pPr>
        <w:keepNext/>
        <w:keepLines/>
        <w:spacing w:before="260" w:after="260" w:line="600" w:lineRule="exact"/>
        <w:ind w:leftChars="56" w:left="118"/>
        <w:jc w:val="center"/>
        <w:outlineLvl w:val="1"/>
        <w:rPr>
          <w:rFonts w:ascii="黑体" w:eastAsia="黑体" w:hAnsi="黑体" w:cs="Times New Roman" w:hint="eastAsia"/>
          <w:b/>
          <w:bCs/>
          <w:sz w:val="32"/>
          <w:szCs w:val="32"/>
          <w14:ligatures w14:val="none"/>
        </w:rPr>
      </w:pPr>
      <w:bookmarkStart w:id="127" w:name="_Toc164695129"/>
      <w:r>
        <w:rPr>
          <w:rFonts w:ascii="黑体" w:eastAsia="黑体" w:hAnsi="黑体" w:cs="Times New Roman" w:hint="eastAsia"/>
          <w:b/>
          <w:bCs/>
          <w:sz w:val="32"/>
          <w:szCs w:val="32"/>
          <w14:ligatures w14:val="none"/>
        </w:rPr>
        <w:t>第三节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完善规划实施传导机制</w:t>
      </w:r>
      <w:bookmarkEnd w:id="127"/>
    </w:p>
    <w:p w14:paraId="6B088152" w14:textId="5AF0E666" w:rsidR="0062582F" w:rsidRDefault="00000000">
      <w:pPr>
        <w:spacing w:line="600" w:lineRule="exact"/>
        <w:ind w:leftChars="56" w:left="118" w:firstLineChars="200" w:firstLine="640"/>
        <w:rPr>
          <w:rFonts w:ascii="仿宋_GB2312" w:eastAsia="仿宋_GB2312" w:hAnsi="仿宋_GB2312" w:cs="Times New Roman" w:hint="eastAsia"/>
          <w:color w:val="000000"/>
          <w:sz w:val="32"/>
          <w:szCs w:val="32"/>
          <w:lang w:bidi="ar"/>
          <w14:ligatures w14:val="none"/>
        </w:rPr>
      </w:pPr>
      <w:r>
        <w:rPr>
          <w:rFonts w:ascii="Times New Roman" w:eastAsia="楷体" w:hAnsi="Times New Roman" w:cs="Times New Roman"/>
          <w:sz w:val="32"/>
          <w:szCs w:val="32"/>
          <w:lang w:bidi="ar"/>
          <w14:ligatures w14:val="none"/>
        </w:rPr>
        <w:t>建立</w:t>
      </w:r>
      <w:r>
        <w:rPr>
          <w:rFonts w:ascii="Times New Roman" w:eastAsia="楷体" w:hAnsi="Times New Roman" w:cs="Times New Roman" w:hint="eastAsia"/>
          <w:sz w:val="32"/>
          <w:szCs w:val="32"/>
          <w:lang w:bidi="ar"/>
          <w14:ligatures w14:val="none"/>
        </w:rPr>
        <w:t>“二级三类”国土空间规划体系。</w:t>
      </w:r>
      <w:r>
        <w:rPr>
          <w:rFonts w:ascii="仿宋_GB2312" w:eastAsia="仿宋_GB2312" w:hAnsi="仿宋_GB2312" w:cs="Times New Roman" w:hint="eastAsia"/>
          <w:color w:val="000000"/>
          <w:sz w:val="32"/>
          <w:szCs w:val="32"/>
          <w:lang w:bidi="ar"/>
          <w14:ligatures w14:val="none"/>
        </w:rPr>
        <w:t>建立“</w:t>
      </w:r>
      <w:r>
        <w:rPr>
          <w:rFonts w:ascii="仿宋_GB2312" w:eastAsia="仿宋_GB2312" w:hAnsi="仿宋_GB2312" w:cs="Times New Roman"/>
          <w:color w:val="000000"/>
          <w:sz w:val="32"/>
          <w:szCs w:val="32"/>
          <w:lang w:bidi="ar"/>
          <w14:ligatures w14:val="none"/>
        </w:rPr>
        <w:t>县级国土空间总体规划</w:t>
      </w:r>
      <w:r>
        <w:rPr>
          <w:rFonts w:ascii="仿宋_GB2312" w:eastAsia="仿宋_GB2312" w:hAnsi="仿宋_GB2312" w:cs="Times New Roman" w:hint="eastAsia"/>
          <w:color w:val="000000"/>
          <w:sz w:val="32"/>
          <w:szCs w:val="32"/>
          <w:lang w:bidi="ar"/>
          <w14:ligatures w14:val="none"/>
        </w:rPr>
        <w:t>—</w:t>
      </w:r>
      <w:r>
        <w:rPr>
          <w:rFonts w:ascii="仿宋_GB2312" w:eastAsia="仿宋_GB2312" w:hAnsi="仿宋_GB2312" w:cs="Times New Roman"/>
          <w:color w:val="000000"/>
          <w:sz w:val="32"/>
          <w:szCs w:val="32"/>
          <w:lang w:bidi="ar"/>
          <w14:ligatures w14:val="none"/>
        </w:rPr>
        <w:t>乡镇级国土空间总体规划”和总体规划</w:t>
      </w:r>
      <w:r>
        <w:rPr>
          <w:rFonts w:ascii="仿宋_GB2312" w:eastAsia="仿宋_GB2312" w:hAnsi="仿宋_GB2312" w:cs="Times New Roman" w:hint="eastAsia"/>
          <w:color w:val="000000"/>
          <w:sz w:val="32"/>
          <w:szCs w:val="32"/>
          <w:lang w:bidi="ar"/>
          <w14:ligatures w14:val="none"/>
        </w:rPr>
        <w:t>、</w:t>
      </w:r>
      <w:r>
        <w:rPr>
          <w:rFonts w:ascii="仿宋_GB2312" w:eastAsia="仿宋_GB2312" w:hAnsi="仿宋_GB2312" w:cs="Times New Roman"/>
          <w:color w:val="000000"/>
          <w:sz w:val="32"/>
          <w:szCs w:val="32"/>
          <w:lang w:bidi="ar"/>
          <w14:ligatures w14:val="none"/>
        </w:rPr>
        <w:t>详细规划</w:t>
      </w:r>
      <w:r>
        <w:rPr>
          <w:rFonts w:ascii="仿宋_GB2312" w:eastAsia="仿宋_GB2312" w:hAnsi="仿宋_GB2312" w:cs="Times New Roman" w:hint="eastAsia"/>
          <w:color w:val="000000"/>
          <w:sz w:val="32"/>
          <w:szCs w:val="32"/>
          <w:lang w:bidi="ar"/>
          <w14:ligatures w14:val="none"/>
        </w:rPr>
        <w:t>、</w:t>
      </w:r>
      <w:r>
        <w:rPr>
          <w:rFonts w:ascii="仿宋_GB2312" w:eastAsia="仿宋_GB2312" w:hAnsi="仿宋_GB2312" w:cs="Times New Roman"/>
          <w:color w:val="000000"/>
          <w:sz w:val="32"/>
          <w:szCs w:val="32"/>
          <w:lang w:bidi="ar"/>
          <w14:ligatures w14:val="none"/>
        </w:rPr>
        <w:t>专项规划的</w:t>
      </w:r>
      <w:r>
        <w:rPr>
          <w:rFonts w:ascii="仿宋_GB2312" w:eastAsia="仿宋_GB2312" w:hAnsi="仿宋_GB2312" w:cs="Times New Roman" w:hint="eastAsia"/>
          <w:color w:val="000000"/>
          <w:sz w:val="32"/>
          <w:szCs w:val="32"/>
          <w:lang w:bidi="ar"/>
          <w14:ligatures w14:val="none"/>
        </w:rPr>
        <w:t>“二</w:t>
      </w:r>
      <w:r>
        <w:rPr>
          <w:rFonts w:ascii="仿宋_GB2312" w:eastAsia="仿宋_GB2312" w:hAnsi="仿宋_GB2312" w:cs="Times New Roman"/>
          <w:color w:val="000000"/>
          <w:sz w:val="32"/>
          <w:szCs w:val="32"/>
          <w:lang w:bidi="ar"/>
          <w14:ligatures w14:val="none"/>
        </w:rPr>
        <w:t>级三类</w:t>
      </w:r>
      <w:r>
        <w:rPr>
          <w:rFonts w:ascii="仿宋_GB2312" w:eastAsia="仿宋_GB2312" w:hAnsi="仿宋_GB2312" w:cs="Times New Roman" w:hint="eastAsia"/>
          <w:color w:val="000000"/>
          <w:sz w:val="32"/>
          <w:szCs w:val="32"/>
          <w:lang w:bidi="ar"/>
          <w14:ligatures w14:val="none"/>
        </w:rPr>
        <w:t>”</w:t>
      </w:r>
      <w:r>
        <w:rPr>
          <w:rFonts w:ascii="仿宋_GB2312" w:eastAsia="仿宋_GB2312" w:hAnsi="仿宋_GB2312" w:cs="Times New Roman"/>
          <w:color w:val="000000"/>
          <w:sz w:val="32"/>
          <w:szCs w:val="32"/>
          <w:lang w:bidi="ar"/>
          <w14:ligatures w14:val="none"/>
        </w:rPr>
        <w:t>国土空间规划体系。</w:t>
      </w:r>
      <w:r>
        <w:rPr>
          <w:rFonts w:ascii="仿宋_GB2312" w:eastAsia="仿宋_GB2312" w:hAnsi="仿宋_GB2312" w:cs="Times New Roman" w:hint="eastAsia"/>
          <w:color w:val="000000"/>
          <w:sz w:val="32"/>
          <w:szCs w:val="32"/>
          <w:lang w:bidi="ar"/>
          <w14:ligatures w14:val="none"/>
        </w:rPr>
        <w:t>逐层分解</w:t>
      </w:r>
      <w:r>
        <w:rPr>
          <w:rFonts w:ascii="Times New Roman" w:eastAsia="仿宋_GB2312" w:hAnsi="Times New Roman" w:cs="Times New Roman"/>
          <w:sz w:val="32"/>
          <w:szCs w:val="32"/>
          <w:lang w:bidi="ar"/>
          <w14:ligatures w14:val="none"/>
        </w:rPr>
        <w:t>落实国土空间总体战略意图，保障总体规划确定的核心内容有效传导与实施落地</w:t>
      </w:r>
      <w:r>
        <w:rPr>
          <w:rFonts w:ascii="Times New Roman" w:eastAsia="仿宋_GB2312" w:hAnsi="Times New Roman" w:cs="Times New Roman" w:hint="eastAsia"/>
          <w:sz w:val="32"/>
          <w:szCs w:val="32"/>
          <w:lang w:bidi="ar"/>
          <w14:ligatures w14:val="none"/>
        </w:rPr>
        <w:t>。</w:t>
      </w:r>
    </w:p>
    <w:p w14:paraId="40561502" w14:textId="77777777" w:rsidR="0062582F" w:rsidRDefault="00000000">
      <w:pPr>
        <w:spacing w:line="600" w:lineRule="exact"/>
        <w:ind w:leftChars="56" w:left="118"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sz w:val="32"/>
          <w:szCs w:val="32"/>
          <w14:ligatures w14:val="none"/>
        </w:rPr>
        <w:t>加强对</w:t>
      </w:r>
      <w:r>
        <w:rPr>
          <w:rFonts w:ascii="Times New Roman" w:eastAsia="楷体" w:hAnsi="Times New Roman" w:cs="Times New Roman" w:hint="eastAsia"/>
          <w:sz w:val="32"/>
          <w:szCs w:val="32"/>
          <w14:ligatures w14:val="none"/>
        </w:rPr>
        <w:t>乡镇</w:t>
      </w:r>
      <w:r>
        <w:rPr>
          <w:rFonts w:ascii="Times New Roman" w:eastAsia="楷体" w:hAnsi="Times New Roman" w:cs="Times New Roman"/>
          <w:sz w:val="32"/>
          <w:szCs w:val="32"/>
          <w14:ligatures w14:val="none"/>
        </w:rPr>
        <w:t>的规划管控和指引。</w:t>
      </w:r>
      <w:r>
        <w:rPr>
          <w:rFonts w:ascii="Times New Roman" w:eastAsia="仿宋_GB2312" w:hAnsi="Times New Roman" w:cs="Times New Roman"/>
          <w:sz w:val="32"/>
          <w:szCs w:val="32"/>
          <w:lang w:bidi="ar"/>
          <w14:ligatures w14:val="none"/>
        </w:rPr>
        <w:t>各</w:t>
      </w:r>
      <w:r>
        <w:rPr>
          <w:rFonts w:ascii="Times New Roman" w:eastAsia="仿宋_GB2312" w:hAnsi="Times New Roman" w:cs="Times New Roman" w:hint="eastAsia"/>
          <w:sz w:val="32"/>
          <w:szCs w:val="32"/>
          <w:lang w:bidi="ar"/>
          <w14:ligatures w14:val="none"/>
        </w:rPr>
        <w:t>乡镇</w:t>
      </w:r>
      <w:r>
        <w:rPr>
          <w:rFonts w:ascii="Times New Roman" w:eastAsia="仿宋_GB2312" w:hAnsi="Times New Roman" w:cs="Times New Roman"/>
          <w:sz w:val="32"/>
          <w:szCs w:val="32"/>
          <w:lang w:bidi="ar"/>
          <w14:ligatures w14:val="none"/>
        </w:rPr>
        <w:t>应严守耕地和永久基本农田</w:t>
      </w:r>
      <w:r>
        <w:rPr>
          <w:rFonts w:ascii="Times New Roman" w:eastAsia="仿宋_GB2312" w:hAnsi="Times New Roman" w:cs="Times New Roman" w:hint="eastAsia"/>
          <w:sz w:val="32"/>
          <w:szCs w:val="32"/>
          <w:lang w:bidi="ar"/>
          <w14:ligatures w14:val="none"/>
        </w:rPr>
        <w:t>、生态保护红线</w:t>
      </w:r>
      <w:r>
        <w:rPr>
          <w:rFonts w:ascii="Times New Roman" w:eastAsia="仿宋_GB2312" w:hAnsi="Times New Roman" w:cs="Times New Roman"/>
          <w:sz w:val="32"/>
          <w:szCs w:val="32"/>
          <w:lang w:bidi="ar"/>
          <w14:ligatures w14:val="none"/>
        </w:rPr>
        <w:t>，加强生态修复，</w:t>
      </w:r>
      <w:r>
        <w:rPr>
          <w:rFonts w:ascii="Times New Roman" w:eastAsia="仿宋_GB2312" w:hAnsi="Times New Roman" w:cs="Times New Roman"/>
          <w:sz w:val="32"/>
          <w:szCs w:val="32"/>
          <w14:ligatures w14:val="none"/>
        </w:rPr>
        <w:t>落实规划确定</w:t>
      </w:r>
      <w:r>
        <w:rPr>
          <w:rFonts w:ascii="Times New Roman" w:eastAsia="仿宋_GB2312" w:hAnsi="Times New Roman" w:cs="Times New Roman"/>
          <w:sz w:val="32"/>
          <w:szCs w:val="32"/>
          <w:lang w:bidi="ar"/>
          <w14:ligatures w14:val="none"/>
        </w:rPr>
        <w:t>的主体功能区定位</w:t>
      </w:r>
      <w:r>
        <w:rPr>
          <w:rFonts w:ascii="Times New Roman" w:eastAsia="仿宋_GB2312" w:hAnsi="Times New Roman" w:cs="Times New Roman" w:hint="eastAsia"/>
          <w:sz w:val="32"/>
          <w:szCs w:val="32"/>
          <w:lang w:bidi="ar"/>
          <w14:ligatures w14:val="none"/>
        </w:rPr>
        <w:t>、</w:t>
      </w:r>
      <w:r>
        <w:rPr>
          <w:rFonts w:ascii="Times New Roman" w:eastAsia="仿宋_GB2312" w:hAnsi="Times New Roman" w:cs="Times New Roman"/>
          <w:sz w:val="32"/>
          <w:szCs w:val="32"/>
          <w:lang w:bidi="ar"/>
          <w14:ligatures w14:val="none"/>
        </w:rPr>
        <w:t>重要控制线等规划内容，实施邻毗区域的规划衔接工作。</w:t>
      </w:r>
    </w:p>
    <w:p w14:paraId="7563CCE4" w14:textId="7C747237" w:rsidR="0062582F" w:rsidRDefault="00000000">
      <w:pPr>
        <w:spacing w:line="600" w:lineRule="exact"/>
        <w:ind w:leftChars="56" w:left="118"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hint="eastAsia"/>
          <w:sz w:val="32"/>
          <w:szCs w:val="32"/>
          <w14:ligatures w14:val="none"/>
        </w:rPr>
        <w:t>加强</w:t>
      </w:r>
      <w:r>
        <w:rPr>
          <w:rFonts w:ascii="Times New Roman" w:eastAsia="楷体" w:hAnsi="Times New Roman" w:cs="Times New Roman"/>
          <w:sz w:val="32"/>
          <w:szCs w:val="32"/>
          <w14:ligatures w14:val="none"/>
        </w:rPr>
        <w:t>专项规划指引。</w:t>
      </w:r>
      <w:r>
        <w:rPr>
          <w:rFonts w:ascii="Times New Roman" w:eastAsia="仿宋_GB2312" w:hAnsi="Times New Roman" w:cs="Times New Roman"/>
          <w:sz w:val="32"/>
          <w:szCs w:val="32"/>
          <w:lang w:bidi="ar"/>
          <w14:ligatures w14:val="none"/>
        </w:rPr>
        <w:t>分领域开展国土空间专项规划编制。相关专项规划在编制和审查过程中应加强与市级国土空间总体规划的衔接。相关专项规划批复后应及时向</w:t>
      </w:r>
      <w:r>
        <w:rPr>
          <w:rFonts w:ascii="Times New Roman" w:eastAsia="仿宋_GB2312" w:hAnsi="Times New Roman" w:cs="Times New Roman" w:hint="eastAsia"/>
          <w:sz w:val="32"/>
          <w:szCs w:val="32"/>
          <w:lang w:bidi="ar"/>
          <w14:ligatures w14:val="none"/>
        </w:rPr>
        <w:t>县</w:t>
      </w:r>
      <w:r>
        <w:rPr>
          <w:rFonts w:ascii="Times New Roman" w:eastAsia="仿宋_GB2312" w:hAnsi="Times New Roman" w:cs="Times New Roman"/>
          <w:sz w:val="32"/>
          <w:szCs w:val="32"/>
          <w:lang w:bidi="ar"/>
          <w14:ligatures w14:val="none"/>
        </w:rPr>
        <w:t>自然资源主管部门汇交标准数字化成果，逐级纳入省国土空间基础信息平台统一管理，叠加到国土空间规划</w:t>
      </w:r>
      <w:r>
        <w:rPr>
          <w:rFonts w:ascii="Times New Roman" w:eastAsia="仿宋_GB2312" w:hAnsi="Times New Roman" w:cs="Times New Roman"/>
          <w:sz w:val="32"/>
          <w:szCs w:val="32"/>
          <w:lang w:bidi="ar"/>
          <w14:ligatures w14:val="none"/>
        </w:rPr>
        <w:t>“</w:t>
      </w:r>
      <w:r>
        <w:rPr>
          <w:rFonts w:ascii="Times New Roman" w:eastAsia="仿宋_GB2312" w:hAnsi="Times New Roman" w:cs="Times New Roman"/>
          <w:sz w:val="32"/>
          <w:szCs w:val="32"/>
          <w:lang w:bidi="ar"/>
          <w14:ligatures w14:val="none"/>
        </w:rPr>
        <w:t>一张图</w:t>
      </w:r>
      <w:r>
        <w:rPr>
          <w:rFonts w:ascii="Times New Roman" w:eastAsia="仿宋_GB2312" w:hAnsi="Times New Roman" w:cs="Times New Roman"/>
          <w:sz w:val="32"/>
          <w:szCs w:val="32"/>
          <w:lang w:bidi="ar"/>
          <w14:ligatures w14:val="none"/>
        </w:rPr>
        <w:t>”</w:t>
      </w:r>
      <w:r>
        <w:rPr>
          <w:rFonts w:ascii="Times New Roman" w:eastAsia="仿宋_GB2312" w:hAnsi="Times New Roman" w:cs="Times New Roman"/>
          <w:sz w:val="32"/>
          <w:szCs w:val="32"/>
          <w:lang w:bidi="ar"/>
          <w14:ligatures w14:val="none"/>
        </w:rPr>
        <w:t>。</w:t>
      </w:r>
    </w:p>
    <w:p w14:paraId="10B82DDC" w14:textId="05A2BFCA" w:rsidR="0062582F" w:rsidRDefault="00000000">
      <w:pPr>
        <w:spacing w:line="600" w:lineRule="exact"/>
        <w:ind w:leftChars="56" w:left="118"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hint="eastAsia"/>
          <w:sz w:val="32"/>
          <w:szCs w:val="32"/>
          <w:lang w:bidi="ar"/>
          <w14:ligatures w14:val="none"/>
        </w:rPr>
        <w:t>加强对城镇开发边界内详细规划的指导与约束。</w:t>
      </w:r>
      <w:r>
        <w:rPr>
          <w:rFonts w:ascii="Times New Roman" w:eastAsia="仿宋_GB2312" w:hAnsi="Times New Roman" w:cs="Times New Roman" w:hint="eastAsia"/>
          <w:sz w:val="32"/>
          <w:szCs w:val="32"/>
          <w:lang w:bidi="ar"/>
          <w14:ligatures w14:val="none"/>
        </w:rPr>
        <w:t>按单元</w:t>
      </w:r>
      <w:r>
        <w:rPr>
          <w:rFonts w:ascii="Times New Roman" w:eastAsia="仿宋_GB2312" w:hAnsi="Times New Roman" w:cs="Times New Roman"/>
          <w:sz w:val="32"/>
          <w:szCs w:val="32"/>
          <w:lang w:bidi="ar"/>
          <w14:ligatures w14:val="none"/>
        </w:rPr>
        <w:t>+</w:t>
      </w:r>
      <w:r>
        <w:rPr>
          <w:rFonts w:ascii="Times New Roman" w:eastAsia="仿宋_GB2312" w:hAnsi="Times New Roman" w:cs="Times New Roman" w:hint="eastAsia"/>
          <w:sz w:val="32"/>
          <w:szCs w:val="32"/>
          <w:lang w:bidi="ar"/>
          <w14:ligatures w14:val="none"/>
        </w:rPr>
        <w:t>地块（街区）模式编制详细规划，明确功能定位、发展规模、空间布局、重要控制线、配套设施管控、重点地区指引等管控</w:t>
      </w:r>
      <w:r>
        <w:rPr>
          <w:rFonts w:ascii="Times New Roman" w:eastAsia="仿宋_GB2312" w:hAnsi="Times New Roman" w:cs="Times New Roman" w:hint="eastAsia"/>
          <w:sz w:val="32"/>
          <w:szCs w:val="32"/>
          <w:lang w:bidi="ar"/>
          <w14:ligatures w14:val="none"/>
        </w:rPr>
        <w:lastRenderedPageBreak/>
        <w:t>要求。</w:t>
      </w:r>
    </w:p>
    <w:p w14:paraId="70035561" w14:textId="71983F3E" w:rsidR="0062582F" w:rsidRDefault="00000000">
      <w:pPr>
        <w:widowControl/>
        <w:spacing w:line="600" w:lineRule="exact"/>
        <w:ind w:leftChars="56" w:left="118" w:firstLineChars="200" w:firstLine="640"/>
        <w:rPr>
          <w:rFonts w:ascii="Times New Roman" w:eastAsia="仿宋_GB2312" w:hAnsi="Times New Roman" w:cs="Times New Roman"/>
          <w:kern w:val="0"/>
          <w:sz w:val="32"/>
          <w:szCs w:val="32"/>
          <w:lang w:bidi="ar"/>
          <w14:ligatures w14:val="none"/>
        </w:rPr>
      </w:pPr>
      <w:r>
        <w:rPr>
          <w:rFonts w:ascii="Times New Roman" w:eastAsia="楷体" w:hAnsi="Times New Roman" w:cs="Times New Roman"/>
          <w:sz w:val="32"/>
          <w:szCs w:val="32"/>
          <w:lang w:bidi="ar"/>
          <w14:ligatures w14:val="none"/>
        </w:rPr>
        <w:t>加强对村庄规划指导与管控。</w:t>
      </w:r>
      <w:r>
        <w:rPr>
          <w:rFonts w:ascii="Times New Roman" w:eastAsia="仿宋_GB2312" w:hAnsi="Times New Roman" w:cs="Times New Roman"/>
          <w:kern w:val="0"/>
          <w:sz w:val="32"/>
          <w:szCs w:val="32"/>
          <w:lang w:bidi="ar"/>
          <w14:ligatures w14:val="none"/>
        </w:rPr>
        <w:t>按照</w:t>
      </w:r>
      <w:r>
        <w:rPr>
          <w:rFonts w:ascii="Times New Roman" w:eastAsia="仿宋_GB2312" w:hAnsi="Times New Roman" w:cs="Times New Roman"/>
          <w:kern w:val="0"/>
          <w:sz w:val="31"/>
          <w:szCs w:val="31"/>
          <w:lang w:bidi="ar"/>
          <w14:ligatures w14:val="none"/>
        </w:rPr>
        <w:t>乡镇级国土空间规划确定的规划分区，结合村庄分类情况，明确村庄建设边界。</w:t>
      </w:r>
      <w:r>
        <w:rPr>
          <w:rFonts w:ascii="Times New Roman" w:eastAsia="仿宋_GB2312" w:hAnsi="Times New Roman" w:cs="Times New Roman"/>
          <w:kern w:val="0"/>
          <w:sz w:val="32"/>
          <w:szCs w:val="32"/>
          <w:lang w:bidi="ar"/>
          <w14:ligatures w14:val="none"/>
        </w:rPr>
        <w:t>村庄规划应与农村土地整治规划相结合，成为统筹乡村地区土地、产业、资金、政策的实施性规划。</w:t>
      </w:r>
    </w:p>
    <w:p w14:paraId="4AEF6D10" w14:textId="77777777" w:rsidR="0062582F" w:rsidRDefault="00000000">
      <w:pPr>
        <w:keepNext/>
        <w:keepLines/>
        <w:spacing w:before="260" w:after="260" w:line="600" w:lineRule="atLeast"/>
        <w:ind w:leftChars="56" w:left="118"/>
        <w:jc w:val="center"/>
        <w:outlineLvl w:val="1"/>
        <w:rPr>
          <w:rFonts w:ascii="黑体" w:eastAsia="黑体" w:hAnsi="黑体" w:cs="Times New Roman" w:hint="eastAsia"/>
          <w:b/>
          <w:bCs/>
          <w:sz w:val="32"/>
          <w:szCs w:val="32"/>
          <w14:ligatures w14:val="none"/>
        </w:rPr>
      </w:pPr>
      <w:bookmarkStart w:id="128" w:name="_Toc164695130"/>
      <w:r>
        <w:rPr>
          <w:rFonts w:ascii="黑体" w:eastAsia="黑体" w:hAnsi="黑体" w:cs="Times New Roman" w:hint="eastAsia"/>
          <w:b/>
          <w:bCs/>
          <w:sz w:val="32"/>
          <w:szCs w:val="32"/>
          <w14:ligatures w14:val="none"/>
        </w:rPr>
        <w:t>第四节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实施规划全生命周期管理</w:t>
      </w:r>
      <w:bookmarkEnd w:id="128"/>
    </w:p>
    <w:p w14:paraId="5E37DE58" w14:textId="77777777" w:rsidR="0062582F" w:rsidRDefault="00000000">
      <w:pPr>
        <w:widowControl/>
        <w:spacing w:line="600" w:lineRule="exact"/>
        <w:ind w:leftChars="56" w:left="118" w:firstLineChars="200" w:firstLine="640"/>
        <w:rPr>
          <w:rFonts w:ascii="Times New Roman" w:eastAsia="仿宋_GB2312" w:hAnsi="Times New Roman" w:cs="Times New Roman"/>
          <w:sz w:val="32"/>
          <w14:ligatures w14:val="none"/>
        </w:rPr>
      </w:pPr>
      <w:r>
        <w:rPr>
          <w:rFonts w:ascii="Times New Roman" w:eastAsia="楷体" w:hAnsi="Times New Roman" w:cs="Times New Roman"/>
          <w:sz w:val="32"/>
          <w:szCs w:val="32"/>
          <w14:ligatures w14:val="none"/>
        </w:rPr>
        <w:t>依托国土空间规划</w:t>
      </w:r>
      <w:r>
        <w:rPr>
          <w:rFonts w:ascii="Times New Roman" w:eastAsia="楷体" w:hAnsi="Times New Roman" w:cs="Times New Roman"/>
          <w:sz w:val="32"/>
          <w:szCs w:val="32"/>
          <w14:ligatures w14:val="none"/>
        </w:rPr>
        <w:t>“</w:t>
      </w:r>
      <w:r>
        <w:rPr>
          <w:rFonts w:ascii="Times New Roman" w:eastAsia="楷体" w:hAnsi="Times New Roman" w:cs="Times New Roman"/>
          <w:sz w:val="32"/>
          <w:szCs w:val="32"/>
          <w14:ligatures w14:val="none"/>
        </w:rPr>
        <w:t>一张图</w:t>
      </w:r>
      <w:r>
        <w:rPr>
          <w:rFonts w:ascii="Times New Roman" w:eastAsia="楷体" w:hAnsi="Times New Roman" w:cs="Times New Roman"/>
          <w:sz w:val="32"/>
          <w:szCs w:val="32"/>
          <w14:ligatures w14:val="none"/>
        </w:rPr>
        <w:t>”</w:t>
      </w:r>
      <w:r>
        <w:rPr>
          <w:rFonts w:ascii="Times New Roman" w:eastAsia="楷体" w:hAnsi="Times New Roman" w:cs="Times New Roman"/>
          <w:sz w:val="32"/>
          <w:szCs w:val="32"/>
          <w14:ligatures w14:val="none"/>
        </w:rPr>
        <w:t>。</w:t>
      </w:r>
      <w:r>
        <w:rPr>
          <w:rFonts w:ascii="Times New Roman" w:eastAsia="仿宋_GB2312" w:hAnsi="Times New Roman" w:cs="Times New Roman"/>
          <w:kern w:val="0"/>
          <w:sz w:val="32"/>
          <w:szCs w:val="32"/>
          <w:lang w:bidi="ar"/>
          <w14:ligatures w14:val="none"/>
        </w:rPr>
        <w:t>在统一底图的基础上，整合国土空间总体规划、详细规划和专项规划成果，逐级汇交纳入省国土空间基础信息平台，形成国土空间规划</w:t>
      </w:r>
      <w:r>
        <w:rPr>
          <w:rFonts w:ascii="Times New Roman" w:eastAsia="仿宋_GB2312" w:hAnsi="Times New Roman" w:cs="Times New Roman"/>
          <w:kern w:val="0"/>
          <w:sz w:val="32"/>
          <w:szCs w:val="32"/>
          <w:lang w:bidi="ar"/>
          <w14:ligatures w14:val="none"/>
        </w:rPr>
        <w:t>“</w:t>
      </w:r>
      <w:r>
        <w:rPr>
          <w:rFonts w:ascii="Times New Roman" w:eastAsia="仿宋_GB2312" w:hAnsi="Times New Roman" w:cs="Times New Roman"/>
          <w:kern w:val="0"/>
          <w:sz w:val="32"/>
          <w:szCs w:val="32"/>
          <w:lang w:bidi="ar"/>
          <w14:ligatures w14:val="none"/>
        </w:rPr>
        <w:t>一张图</w:t>
      </w:r>
      <w:r>
        <w:rPr>
          <w:rFonts w:ascii="Times New Roman" w:eastAsia="仿宋_GB2312" w:hAnsi="Times New Roman" w:cs="Times New Roman"/>
          <w:kern w:val="0"/>
          <w:sz w:val="32"/>
          <w:szCs w:val="32"/>
          <w:lang w:bidi="ar"/>
          <w14:ligatures w14:val="none"/>
        </w:rPr>
        <w:t>”</w:t>
      </w:r>
      <w:r>
        <w:rPr>
          <w:rFonts w:ascii="Times New Roman" w:eastAsia="仿宋_GB2312" w:hAnsi="Times New Roman" w:cs="Times New Roman"/>
          <w:kern w:val="0"/>
          <w:sz w:val="32"/>
          <w:szCs w:val="32"/>
          <w:lang w:bidi="ar"/>
          <w14:ligatures w14:val="none"/>
        </w:rPr>
        <w:t>，为统一国土空间用途管制、实施建设项目规划许可、强化规划实施监督提供依据和</w:t>
      </w:r>
      <w:r>
        <w:rPr>
          <w:rFonts w:ascii="Times New Roman" w:eastAsia="仿宋_GB2312" w:hAnsi="Times New Roman" w:cs="Times New Roman"/>
          <w:sz w:val="32"/>
          <w:szCs w:val="32"/>
          <w:lang w:bidi="ar"/>
          <w14:ligatures w14:val="none"/>
        </w:rPr>
        <w:t>支撑</w:t>
      </w:r>
      <w:r>
        <w:rPr>
          <w:rFonts w:ascii="Times New Roman" w:eastAsia="仿宋_GB2312" w:hAnsi="Times New Roman" w:cs="Times New Roman"/>
          <w:kern w:val="0"/>
          <w:sz w:val="32"/>
          <w:szCs w:val="32"/>
          <w:lang w:bidi="ar"/>
          <w14:ligatures w14:val="none"/>
        </w:rPr>
        <w:t>。</w:t>
      </w:r>
    </w:p>
    <w:p w14:paraId="2059C683" w14:textId="58E84EB7" w:rsidR="0062582F" w:rsidRDefault="00000000">
      <w:pPr>
        <w:spacing w:line="600" w:lineRule="exact"/>
        <w:ind w:leftChars="56" w:left="118"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14:ligatures w14:val="none"/>
        </w:rPr>
        <w:t>建立规划实施监督考核问责机制。</w:t>
      </w:r>
      <w:r>
        <w:rPr>
          <w:rFonts w:ascii="Times New Roman" w:eastAsia="仿宋_GB2312" w:hAnsi="Times New Roman" w:cs="Times New Roman"/>
          <w:sz w:val="32"/>
          <w:szCs w:val="32"/>
          <w14:ligatures w14:val="none"/>
        </w:rPr>
        <w:t>经依法批准后的国土空间规划必须严格执行，严禁任何部门和个人随意修改、违规变更。将国土空间规划执行情况纳入自然资源执法督察内容，加强日常巡查和台账检查，实施批后监管。充分发挥人大、政协对规划实施的监督作用。</w:t>
      </w:r>
    </w:p>
    <w:p w14:paraId="2F2162B0" w14:textId="77777777" w:rsidR="0062582F" w:rsidRDefault="00000000">
      <w:pPr>
        <w:spacing w:line="600" w:lineRule="exact"/>
        <w:ind w:leftChars="56" w:left="118" w:firstLineChars="200" w:firstLine="640"/>
        <w:rPr>
          <w:rFonts w:ascii="Times New Roman" w:eastAsia="仿宋_GB2312" w:hAnsi="Times New Roman" w:cs="Times New Roman"/>
          <w:sz w:val="32"/>
          <w:szCs w:val="32"/>
          <w14:ligatures w14:val="none"/>
        </w:rPr>
      </w:pPr>
      <w:r>
        <w:rPr>
          <w:rFonts w:ascii="Times New Roman" w:eastAsia="楷体" w:hAnsi="Times New Roman" w:cs="Times New Roman"/>
          <w:sz w:val="32"/>
          <w:szCs w:val="32"/>
          <w14:ligatures w14:val="none"/>
        </w:rPr>
        <w:t>建立规划评估和维护机制。</w:t>
      </w:r>
      <w:r>
        <w:rPr>
          <w:rFonts w:ascii="Times New Roman" w:eastAsia="仿宋_GB2312" w:hAnsi="Times New Roman" w:cs="Times New Roman"/>
          <w:sz w:val="32"/>
          <w:szCs w:val="32"/>
          <w14:ligatures w14:val="none"/>
        </w:rPr>
        <w:t>建立定期体检、五年评估的常态化规划实施监督机制，将国土空间规划城市体检评估结果作为编制、审批、修改规划和审计、执法、督察的重要参考。建立公开透明、制度化的动态调整完善机制。</w:t>
      </w:r>
    </w:p>
    <w:p w14:paraId="2ED3BE46" w14:textId="77777777" w:rsidR="0062582F" w:rsidRDefault="00000000">
      <w:pPr>
        <w:widowControl/>
        <w:spacing w:line="600" w:lineRule="exact"/>
        <w:ind w:leftChars="56" w:left="118" w:firstLineChars="200" w:firstLine="640"/>
        <w:rPr>
          <w:rFonts w:ascii="Calibri" w:eastAsia="仿宋_GB2312" w:hAnsi="Calibri" w:cs="Times New Roman"/>
          <w:sz w:val="32"/>
          <w:lang w:bidi="ar"/>
          <w14:ligatures w14:val="none"/>
        </w:rPr>
      </w:pPr>
      <w:r>
        <w:rPr>
          <w:rFonts w:ascii="Times New Roman" w:eastAsia="楷体" w:hAnsi="Times New Roman" w:cs="Times New Roman"/>
          <w:sz w:val="32"/>
          <w:szCs w:val="32"/>
          <w14:ligatures w14:val="none"/>
        </w:rPr>
        <w:lastRenderedPageBreak/>
        <w:t>落实社会参与机制。</w:t>
      </w:r>
      <w:r>
        <w:rPr>
          <w:rFonts w:ascii="Times New Roman" w:eastAsia="仿宋_GB2312" w:hAnsi="Times New Roman" w:cs="Times New Roman"/>
          <w:sz w:val="32"/>
          <w:szCs w:val="32"/>
          <w14:ligatures w14:val="none"/>
        </w:rPr>
        <w:t>建立贯穿规划编制、调整、实施、监督全过程的公众参与机制，保障公众及时获取规划信息并有效反馈意见的途径。建立常态化的国土空间规划宣传和交流互动机制。</w:t>
      </w:r>
    </w:p>
    <w:p w14:paraId="0C375016" w14:textId="77777777" w:rsidR="0062582F" w:rsidRDefault="00000000">
      <w:pPr>
        <w:keepNext/>
        <w:keepLines/>
        <w:spacing w:before="260" w:after="260" w:line="600" w:lineRule="exact"/>
        <w:ind w:leftChars="56" w:left="118"/>
        <w:jc w:val="center"/>
        <w:outlineLvl w:val="1"/>
        <w:rPr>
          <w:rFonts w:ascii="黑体" w:eastAsia="黑体" w:hAnsi="黑体" w:cs="Times New Roman" w:hint="eastAsia"/>
          <w:b/>
          <w:bCs/>
          <w:sz w:val="32"/>
          <w:szCs w:val="32"/>
          <w14:ligatures w14:val="none"/>
        </w:rPr>
      </w:pPr>
      <w:bookmarkStart w:id="129" w:name="_Toc164695131"/>
      <w:r>
        <w:rPr>
          <w:rFonts w:ascii="黑体" w:eastAsia="黑体" w:hAnsi="黑体" w:cs="Times New Roman" w:hint="eastAsia"/>
          <w:b/>
          <w:bCs/>
          <w:sz w:val="32"/>
          <w:szCs w:val="32"/>
          <w14:ligatures w14:val="none"/>
        </w:rPr>
        <w:t>第五节</w:t>
      </w:r>
      <w:r>
        <w:rPr>
          <w:rFonts w:ascii="黑体" w:eastAsia="黑体" w:hAnsi="黑体" w:cs="Times New Roman"/>
          <w:b/>
          <w:bCs/>
          <w:sz w:val="32"/>
          <w:szCs w:val="32"/>
          <w14:ligatures w14:val="none"/>
        </w:rPr>
        <w:t xml:space="preserve"> </w:t>
      </w:r>
      <w:r>
        <w:rPr>
          <w:rFonts w:ascii="黑体" w:eastAsia="黑体" w:hAnsi="黑体" w:cs="Times New Roman" w:hint="eastAsia"/>
          <w:b/>
          <w:bCs/>
          <w:sz w:val="32"/>
          <w:szCs w:val="32"/>
          <w14:ligatures w14:val="none"/>
        </w:rPr>
        <w:t>完善规划引领的项目保障机制</w:t>
      </w:r>
      <w:bookmarkEnd w:id="129"/>
    </w:p>
    <w:p w14:paraId="41080880" w14:textId="63209593" w:rsidR="0062582F" w:rsidRDefault="00000000">
      <w:pPr>
        <w:spacing w:line="600" w:lineRule="atLeast"/>
        <w:ind w:leftChars="56" w:left="118"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hint="eastAsia"/>
          <w:sz w:val="32"/>
          <w:szCs w:val="32"/>
          <w:lang w:bidi="ar"/>
          <w14:ligatures w14:val="none"/>
        </w:rPr>
        <w:t>建立国土空间规划重点项目库。</w:t>
      </w:r>
      <w:r>
        <w:rPr>
          <w:rFonts w:ascii="Times New Roman" w:eastAsia="仿宋_GB2312" w:hAnsi="Times New Roman" w:cs="Times New Roman" w:hint="eastAsia"/>
          <w:sz w:val="32"/>
          <w:szCs w:val="32"/>
          <w:lang w:bidi="ar"/>
          <w14:ligatures w14:val="none"/>
        </w:rPr>
        <w:t>发挥国土空间规划的资源管控和统筹调配作用，建立重点项目库，实行动态更新。逐步实现项目跟着规划走、要素跟着项目走，保障城市高质量、可持续发展。</w:t>
      </w:r>
    </w:p>
    <w:p w14:paraId="6C3AEC4A" w14:textId="34449919" w:rsidR="0062582F" w:rsidRDefault="00000000">
      <w:pPr>
        <w:spacing w:line="600" w:lineRule="atLeast"/>
        <w:ind w:leftChars="56" w:left="118" w:firstLineChars="200" w:firstLine="640"/>
        <w:rPr>
          <w:rFonts w:ascii="Times New Roman" w:eastAsia="仿宋_GB2312" w:hAnsi="Times New Roman" w:cs="Times New Roman"/>
          <w:sz w:val="32"/>
          <w:szCs w:val="32"/>
          <w:lang w:bidi="ar"/>
          <w14:ligatures w14:val="none"/>
        </w:rPr>
      </w:pPr>
      <w:r>
        <w:rPr>
          <w:rFonts w:ascii="Times New Roman" w:eastAsia="楷体" w:hAnsi="Times New Roman" w:cs="Times New Roman" w:hint="eastAsia"/>
          <w:sz w:val="32"/>
          <w:szCs w:val="32"/>
          <w:lang w:bidi="ar"/>
          <w14:ligatures w14:val="none"/>
        </w:rPr>
        <w:t>近期行动计划。</w:t>
      </w:r>
      <w:r>
        <w:rPr>
          <w:rFonts w:ascii="Times New Roman" w:eastAsia="仿宋_GB2312" w:hAnsi="Times New Roman" w:cs="Times New Roman" w:hint="eastAsia"/>
          <w:sz w:val="32"/>
          <w:szCs w:val="32"/>
          <w:lang w:bidi="ar"/>
          <w14:ligatures w14:val="none"/>
        </w:rPr>
        <w:t>落实“十四五”项目建设安排，以解决问题和实施成效为导向，聚焦关键空间</w:t>
      </w:r>
      <w:r w:rsidR="00CA05DC">
        <w:rPr>
          <w:rFonts w:ascii="Times New Roman" w:eastAsia="仿宋_GB2312" w:hAnsi="Times New Roman" w:cs="Times New Roman" w:hint="eastAsia"/>
          <w:sz w:val="32"/>
          <w:szCs w:val="32"/>
          <w:lang w:bidi="ar"/>
          <w14:ligatures w14:val="none"/>
        </w:rPr>
        <w:t>，</w:t>
      </w:r>
      <w:r>
        <w:rPr>
          <w:rFonts w:ascii="Times New Roman" w:eastAsia="仿宋_GB2312" w:hAnsi="Times New Roman" w:cs="Times New Roman" w:hint="eastAsia"/>
          <w:sz w:val="32"/>
          <w:szCs w:val="32"/>
          <w:lang w:bidi="ar"/>
          <w14:ligatures w14:val="none"/>
        </w:rPr>
        <w:t>近期行动计划和重点任务。</w:t>
      </w:r>
    </w:p>
    <w:p w14:paraId="6FDA0CDA" w14:textId="77777777" w:rsidR="0062582F" w:rsidRDefault="0062582F">
      <w:pPr>
        <w:spacing w:line="560" w:lineRule="exact"/>
        <w:ind w:firstLineChars="200" w:firstLine="640"/>
        <w:jc w:val="left"/>
        <w:rPr>
          <w:rFonts w:ascii="Times New Roman" w:eastAsia="仿宋_GB2312" w:hAnsi="Times New Roman" w:cs="Times New Roman"/>
          <w:kern w:val="0"/>
          <w:sz w:val="32"/>
          <w:szCs w:val="30"/>
          <w14:ligatures w14:val="none"/>
        </w:rPr>
      </w:pPr>
    </w:p>
    <w:bookmarkEnd w:id="122"/>
    <w:p w14:paraId="32051CBE" w14:textId="77777777" w:rsidR="0062582F" w:rsidRDefault="0062582F" w:rsidP="00F57228">
      <w:pPr>
        <w:spacing w:line="600" w:lineRule="atLeast"/>
        <w:ind w:leftChars="56" w:left="118" w:firstLineChars="200" w:firstLine="420"/>
        <w:rPr>
          <w:rFonts w:hint="eastAsia"/>
        </w:rPr>
      </w:pPr>
    </w:p>
    <w:sectPr w:rsidR="0062582F">
      <w:footerReference w:type="default" r:id="rId12"/>
      <w:pgSz w:w="11906" w:h="16838"/>
      <w:pgMar w:top="2098" w:right="1588" w:bottom="1440"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EF4F4" w14:textId="77777777" w:rsidR="009F09E7" w:rsidRDefault="009F09E7">
      <w:pPr>
        <w:rPr>
          <w:rFonts w:hint="eastAsia"/>
        </w:rPr>
      </w:pPr>
      <w:r>
        <w:separator/>
      </w:r>
    </w:p>
  </w:endnote>
  <w:endnote w:type="continuationSeparator" w:id="0">
    <w:p w14:paraId="4BE1FD27" w14:textId="77777777" w:rsidR="009F09E7" w:rsidRDefault="009F09E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
    <w:altName w:val="仿宋g..玍.."/>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47B27" w14:textId="77777777" w:rsidR="0062582F" w:rsidRDefault="0062582F">
    <w:pPr>
      <w:pStyle w:val="af0"/>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7901712"/>
    </w:sdtPr>
    <w:sdtEndPr>
      <w:rPr>
        <w:sz w:val="24"/>
        <w:szCs w:val="24"/>
      </w:rPr>
    </w:sdtEndPr>
    <w:sdtContent>
      <w:p w14:paraId="7E8CE539" w14:textId="77777777" w:rsidR="0062582F" w:rsidRDefault="00000000">
        <w:pPr>
          <w:pStyle w:val="af0"/>
          <w:ind w:firstLine="360"/>
          <w:jc w:val="center"/>
          <w:rPr>
            <w:rFonts w:hint="eastAsia"/>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lang w:val="zh-CN"/>
          </w:rPr>
          <w:t>3</w:t>
        </w:r>
        <w:r>
          <w:rPr>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FE14D" w14:textId="77777777" w:rsidR="0062582F" w:rsidRDefault="0062582F">
    <w:pPr>
      <w:pStyle w:val="af0"/>
      <w:ind w:firstLine="360"/>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7521142"/>
    </w:sdtPr>
    <w:sdtEndPr>
      <w:rPr>
        <w:lang w:val="zh-CN"/>
      </w:rPr>
    </w:sdtEndPr>
    <w:sdtContent>
      <w:p w14:paraId="546B5852" w14:textId="77777777" w:rsidR="0062582F" w:rsidRDefault="00000000">
        <w:pPr>
          <w:pStyle w:val="af0"/>
          <w:ind w:firstLine="360"/>
          <w:jc w:val="center"/>
          <w:rPr>
            <w:rFonts w:hint="eastAsia"/>
            <w:lang w:val="zh-CN"/>
          </w:rPr>
        </w:pPr>
        <w:r>
          <w:rPr>
            <w:lang w:val="zh-CN"/>
          </w:rPr>
          <w:fldChar w:fldCharType="begin"/>
        </w:r>
        <w:r>
          <w:rPr>
            <w:lang w:val="zh-CN"/>
          </w:rPr>
          <w:instrText>PAGE   \* MERGEFORMAT</w:instrText>
        </w:r>
        <w:r>
          <w:rPr>
            <w:lang w:val="zh-CN"/>
          </w:rPr>
          <w:fldChar w:fldCharType="separate"/>
        </w:r>
        <w:r>
          <w:rPr>
            <w:lang w:val="zh-CN"/>
          </w:rPr>
          <w:t>99</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A7FEB" w14:textId="77777777" w:rsidR="009F09E7" w:rsidRDefault="009F09E7">
      <w:pPr>
        <w:rPr>
          <w:rFonts w:hint="eastAsia"/>
        </w:rPr>
      </w:pPr>
      <w:r>
        <w:separator/>
      </w:r>
    </w:p>
  </w:footnote>
  <w:footnote w:type="continuationSeparator" w:id="0">
    <w:p w14:paraId="31C2817C" w14:textId="77777777" w:rsidR="009F09E7" w:rsidRDefault="009F09E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FBB0C" w14:textId="77777777" w:rsidR="0062582F" w:rsidRDefault="0062582F">
    <w:pPr>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4D4590"/>
    <w:multiLevelType w:val="singleLevel"/>
    <w:tmpl w:val="2B4D4590"/>
    <w:lvl w:ilvl="0">
      <w:start w:val="1"/>
      <w:numFmt w:val="decimal"/>
      <w:suff w:val="nothing"/>
      <w:lvlText w:val="专栏%1 "/>
      <w:lvlJc w:val="left"/>
      <w:pPr>
        <w:ind w:left="0" w:firstLine="403"/>
      </w:pPr>
      <w:rPr>
        <w:rFonts w:eastAsia="黑体" w:hint="default"/>
        <w:sz w:val="30"/>
      </w:rPr>
    </w:lvl>
  </w:abstractNum>
  <w:abstractNum w:abstractNumId="1" w15:restartNumberingAfterBreak="0">
    <w:nsid w:val="6E450EA4"/>
    <w:multiLevelType w:val="multilevel"/>
    <w:tmpl w:val="6E450EA4"/>
    <w:lvl w:ilvl="0">
      <w:start w:val="1"/>
      <w:numFmt w:val="decimal"/>
      <w:pStyle w:val="3"/>
      <w:lvlText w:val="第%1条 "/>
      <w:lvlJc w:val="left"/>
      <w:pPr>
        <w:ind w:left="637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18357732">
    <w:abstractNumId w:val="1"/>
  </w:num>
  <w:num w:numId="2" w16cid:durableId="25373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Y1NmQ1YmVhNzFkYTU3ZTk3M2RlMGFhZGFkZmU0MDcifQ=="/>
  </w:docVars>
  <w:rsids>
    <w:rsidRoot w:val="00AB72B3"/>
    <w:rsid w:val="000020DD"/>
    <w:rsid w:val="00004B9E"/>
    <w:rsid w:val="00021D3F"/>
    <w:rsid w:val="0002567E"/>
    <w:rsid w:val="00041EF4"/>
    <w:rsid w:val="0005483A"/>
    <w:rsid w:val="0005553A"/>
    <w:rsid w:val="00070CA7"/>
    <w:rsid w:val="0008559D"/>
    <w:rsid w:val="0009050A"/>
    <w:rsid w:val="0009268A"/>
    <w:rsid w:val="000A105C"/>
    <w:rsid w:val="000A177D"/>
    <w:rsid w:val="000A5894"/>
    <w:rsid w:val="000C405C"/>
    <w:rsid w:val="000D0505"/>
    <w:rsid w:val="000D20A6"/>
    <w:rsid w:val="000D319D"/>
    <w:rsid w:val="000D3D44"/>
    <w:rsid w:val="000D5EDA"/>
    <w:rsid w:val="000E4D3F"/>
    <w:rsid w:val="0010019A"/>
    <w:rsid w:val="001049AE"/>
    <w:rsid w:val="001272D6"/>
    <w:rsid w:val="00131E94"/>
    <w:rsid w:val="00133C60"/>
    <w:rsid w:val="00146E74"/>
    <w:rsid w:val="0015741D"/>
    <w:rsid w:val="001648EC"/>
    <w:rsid w:val="001655FD"/>
    <w:rsid w:val="00167391"/>
    <w:rsid w:val="001725D6"/>
    <w:rsid w:val="0019407A"/>
    <w:rsid w:val="001948DE"/>
    <w:rsid w:val="001A1A6A"/>
    <w:rsid w:val="001B06DB"/>
    <w:rsid w:val="001B0D79"/>
    <w:rsid w:val="001D1903"/>
    <w:rsid w:val="001D690E"/>
    <w:rsid w:val="001D7261"/>
    <w:rsid w:val="001E0F23"/>
    <w:rsid w:val="001E22BF"/>
    <w:rsid w:val="001F32F0"/>
    <w:rsid w:val="001F5B44"/>
    <w:rsid w:val="00201CC5"/>
    <w:rsid w:val="002031E9"/>
    <w:rsid w:val="002070FB"/>
    <w:rsid w:val="0020716A"/>
    <w:rsid w:val="00227D51"/>
    <w:rsid w:val="00227E4E"/>
    <w:rsid w:val="00264155"/>
    <w:rsid w:val="00265231"/>
    <w:rsid w:val="00266F2B"/>
    <w:rsid w:val="00272C02"/>
    <w:rsid w:val="002A26DD"/>
    <w:rsid w:val="002A713F"/>
    <w:rsid w:val="002D3475"/>
    <w:rsid w:val="002D3894"/>
    <w:rsid w:val="002E333D"/>
    <w:rsid w:val="002E67D8"/>
    <w:rsid w:val="002F5B8C"/>
    <w:rsid w:val="00304A42"/>
    <w:rsid w:val="00305D96"/>
    <w:rsid w:val="00311C45"/>
    <w:rsid w:val="00315FAE"/>
    <w:rsid w:val="0031771A"/>
    <w:rsid w:val="0033153A"/>
    <w:rsid w:val="00332084"/>
    <w:rsid w:val="0034623D"/>
    <w:rsid w:val="00381ABC"/>
    <w:rsid w:val="0038305A"/>
    <w:rsid w:val="00386B7B"/>
    <w:rsid w:val="003A39CF"/>
    <w:rsid w:val="003B7553"/>
    <w:rsid w:val="003C4CD1"/>
    <w:rsid w:val="003E0EB8"/>
    <w:rsid w:val="003F407B"/>
    <w:rsid w:val="0040091D"/>
    <w:rsid w:val="00406728"/>
    <w:rsid w:val="004120B7"/>
    <w:rsid w:val="00414F8F"/>
    <w:rsid w:val="0043383D"/>
    <w:rsid w:val="004339C6"/>
    <w:rsid w:val="00437582"/>
    <w:rsid w:val="0044294C"/>
    <w:rsid w:val="0044587E"/>
    <w:rsid w:val="00446B6C"/>
    <w:rsid w:val="0046164A"/>
    <w:rsid w:val="00472F82"/>
    <w:rsid w:val="004927DC"/>
    <w:rsid w:val="00494720"/>
    <w:rsid w:val="004A0A6C"/>
    <w:rsid w:val="004A6F0D"/>
    <w:rsid w:val="004B51D2"/>
    <w:rsid w:val="004C7032"/>
    <w:rsid w:val="004D0820"/>
    <w:rsid w:val="004D5403"/>
    <w:rsid w:val="004E0285"/>
    <w:rsid w:val="004E149D"/>
    <w:rsid w:val="004E6401"/>
    <w:rsid w:val="004F071B"/>
    <w:rsid w:val="004F64D2"/>
    <w:rsid w:val="005036DE"/>
    <w:rsid w:val="0050421F"/>
    <w:rsid w:val="00506031"/>
    <w:rsid w:val="00515F63"/>
    <w:rsid w:val="00520189"/>
    <w:rsid w:val="0052389E"/>
    <w:rsid w:val="00524D02"/>
    <w:rsid w:val="00531C41"/>
    <w:rsid w:val="00543FEC"/>
    <w:rsid w:val="0055559C"/>
    <w:rsid w:val="005577CF"/>
    <w:rsid w:val="005727F1"/>
    <w:rsid w:val="00582AC7"/>
    <w:rsid w:val="00592A77"/>
    <w:rsid w:val="005A1619"/>
    <w:rsid w:val="005E0725"/>
    <w:rsid w:val="005E1BC5"/>
    <w:rsid w:val="005F0659"/>
    <w:rsid w:val="006031E9"/>
    <w:rsid w:val="006164BD"/>
    <w:rsid w:val="00616E6B"/>
    <w:rsid w:val="0062582F"/>
    <w:rsid w:val="00627688"/>
    <w:rsid w:val="0063096C"/>
    <w:rsid w:val="006473C8"/>
    <w:rsid w:val="00647445"/>
    <w:rsid w:val="00650DAF"/>
    <w:rsid w:val="00651035"/>
    <w:rsid w:val="0066194A"/>
    <w:rsid w:val="00677458"/>
    <w:rsid w:val="00680BC1"/>
    <w:rsid w:val="00690E0D"/>
    <w:rsid w:val="0069295D"/>
    <w:rsid w:val="006B29D2"/>
    <w:rsid w:val="006B2A6F"/>
    <w:rsid w:val="006C0B6D"/>
    <w:rsid w:val="006D4AB0"/>
    <w:rsid w:val="006E0F5F"/>
    <w:rsid w:val="006E5FE4"/>
    <w:rsid w:val="007023EC"/>
    <w:rsid w:val="0070332F"/>
    <w:rsid w:val="00707A2B"/>
    <w:rsid w:val="00713888"/>
    <w:rsid w:val="007210E7"/>
    <w:rsid w:val="00723A36"/>
    <w:rsid w:val="00736977"/>
    <w:rsid w:val="00741819"/>
    <w:rsid w:val="00750FD1"/>
    <w:rsid w:val="0076464D"/>
    <w:rsid w:val="007739AF"/>
    <w:rsid w:val="007867A3"/>
    <w:rsid w:val="007A0318"/>
    <w:rsid w:val="007A3623"/>
    <w:rsid w:val="007A7FAE"/>
    <w:rsid w:val="007D348C"/>
    <w:rsid w:val="007F24AF"/>
    <w:rsid w:val="00814B6D"/>
    <w:rsid w:val="00822F27"/>
    <w:rsid w:val="008422B4"/>
    <w:rsid w:val="00843ED6"/>
    <w:rsid w:val="00846D37"/>
    <w:rsid w:val="008546B7"/>
    <w:rsid w:val="008635CD"/>
    <w:rsid w:val="008666AC"/>
    <w:rsid w:val="00875129"/>
    <w:rsid w:val="008A3A07"/>
    <w:rsid w:val="008A3DCB"/>
    <w:rsid w:val="008B15E9"/>
    <w:rsid w:val="008B67D4"/>
    <w:rsid w:val="008C1EB2"/>
    <w:rsid w:val="008C25C6"/>
    <w:rsid w:val="008E5262"/>
    <w:rsid w:val="008E54D2"/>
    <w:rsid w:val="008E6516"/>
    <w:rsid w:val="008F3C2D"/>
    <w:rsid w:val="00911B38"/>
    <w:rsid w:val="009151C7"/>
    <w:rsid w:val="00920C4C"/>
    <w:rsid w:val="00923724"/>
    <w:rsid w:val="00941A5B"/>
    <w:rsid w:val="009518AB"/>
    <w:rsid w:val="00951B9C"/>
    <w:rsid w:val="00962098"/>
    <w:rsid w:val="00964AF4"/>
    <w:rsid w:val="00985CF8"/>
    <w:rsid w:val="009A172A"/>
    <w:rsid w:val="009B087B"/>
    <w:rsid w:val="009B2D2B"/>
    <w:rsid w:val="009B441A"/>
    <w:rsid w:val="009B6BD8"/>
    <w:rsid w:val="009F09E7"/>
    <w:rsid w:val="00A14EAE"/>
    <w:rsid w:val="00A46C4A"/>
    <w:rsid w:val="00A5125F"/>
    <w:rsid w:val="00A52E6D"/>
    <w:rsid w:val="00A648F5"/>
    <w:rsid w:val="00A7238D"/>
    <w:rsid w:val="00A85A6D"/>
    <w:rsid w:val="00A93F0B"/>
    <w:rsid w:val="00AB5AEA"/>
    <w:rsid w:val="00AB72B3"/>
    <w:rsid w:val="00AC3382"/>
    <w:rsid w:val="00AC6622"/>
    <w:rsid w:val="00AD7518"/>
    <w:rsid w:val="00AE604E"/>
    <w:rsid w:val="00AF6EDC"/>
    <w:rsid w:val="00B00EAA"/>
    <w:rsid w:val="00B045A3"/>
    <w:rsid w:val="00B30E70"/>
    <w:rsid w:val="00B35652"/>
    <w:rsid w:val="00B46218"/>
    <w:rsid w:val="00B469C1"/>
    <w:rsid w:val="00B614A3"/>
    <w:rsid w:val="00B74707"/>
    <w:rsid w:val="00B859CC"/>
    <w:rsid w:val="00B86F7A"/>
    <w:rsid w:val="00B96BBC"/>
    <w:rsid w:val="00BB6F34"/>
    <w:rsid w:val="00BC0417"/>
    <w:rsid w:val="00BD23B9"/>
    <w:rsid w:val="00C05F4C"/>
    <w:rsid w:val="00C16174"/>
    <w:rsid w:val="00C20387"/>
    <w:rsid w:val="00C2526F"/>
    <w:rsid w:val="00C52BCC"/>
    <w:rsid w:val="00C671A7"/>
    <w:rsid w:val="00C71928"/>
    <w:rsid w:val="00C86B0B"/>
    <w:rsid w:val="00CA05DC"/>
    <w:rsid w:val="00CC1C54"/>
    <w:rsid w:val="00CD2202"/>
    <w:rsid w:val="00CF0D2C"/>
    <w:rsid w:val="00CF28EE"/>
    <w:rsid w:val="00D00B39"/>
    <w:rsid w:val="00D31B2F"/>
    <w:rsid w:val="00D3330C"/>
    <w:rsid w:val="00D406DB"/>
    <w:rsid w:val="00D45E32"/>
    <w:rsid w:val="00D6061D"/>
    <w:rsid w:val="00D62DAA"/>
    <w:rsid w:val="00D760D5"/>
    <w:rsid w:val="00D9382E"/>
    <w:rsid w:val="00D93BF6"/>
    <w:rsid w:val="00D976A6"/>
    <w:rsid w:val="00DA14E9"/>
    <w:rsid w:val="00DA2FA3"/>
    <w:rsid w:val="00DB1F85"/>
    <w:rsid w:val="00DB39AD"/>
    <w:rsid w:val="00DB57F9"/>
    <w:rsid w:val="00DB713D"/>
    <w:rsid w:val="00DC3FA1"/>
    <w:rsid w:val="00DD590F"/>
    <w:rsid w:val="00DE2594"/>
    <w:rsid w:val="00DE318C"/>
    <w:rsid w:val="00DE5A8B"/>
    <w:rsid w:val="00DF1DFF"/>
    <w:rsid w:val="00E00798"/>
    <w:rsid w:val="00E160F3"/>
    <w:rsid w:val="00E44014"/>
    <w:rsid w:val="00E5348A"/>
    <w:rsid w:val="00E574E8"/>
    <w:rsid w:val="00E57DFE"/>
    <w:rsid w:val="00E65E0F"/>
    <w:rsid w:val="00E67BFC"/>
    <w:rsid w:val="00E927C5"/>
    <w:rsid w:val="00E949D9"/>
    <w:rsid w:val="00EA6AB7"/>
    <w:rsid w:val="00EB217C"/>
    <w:rsid w:val="00EE123A"/>
    <w:rsid w:val="00EE1CC5"/>
    <w:rsid w:val="00EE6E68"/>
    <w:rsid w:val="00EE7366"/>
    <w:rsid w:val="00F00B33"/>
    <w:rsid w:val="00F1312E"/>
    <w:rsid w:val="00F22518"/>
    <w:rsid w:val="00F57228"/>
    <w:rsid w:val="00F67A6F"/>
    <w:rsid w:val="00F72E7C"/>
    <w:rsid w:val="00FB3A09"/>
    <w:rsid w:val="00FE39CF"/>
    <w:rsid w:val="00FE41ED"/>
    <w:rsid w:val="00FE5C7E"/>
    <w:rsid w:val="4A1144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5928"/>
  <w15:docId w15:val="{2ABDE59E-9D0E-4618-A3E5-D7DD606EA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32F"/>
    <w:pPr>
      <w:widowControl w:val="0"/>
      <w:jc w:val="both"/>
    </w:pPr>
    <w:rPr>
      <w:kern w:val="2"/>
      <w:sz w:val="21"/>
      <w:szCs w:val="22"/>
      <w14:ligatures w14:val="standardContextual"/>
    </w:rPr>
  </w:style>
  <w:style w:type="paragraph" w:styleId="1">
    <w:name w:val="heading 1"/>
    <w:basedOn w:val="a"/>
    <w:next w:val="a"/>
    <w:link w:val="10"/>
    <w:autoRedefine/>
    <w:uiPriority w:val="9"/>
    <w:qFormat/>
    <w:pPr>
      <w:autoSpaceDE w:val="0"/>
      <w:autoSpaceDN w:val="0"/>
      <w:spacing w:before="45" w:line="560" w:lineRule="exact"/>
      <w:ind w:left="139"/>
      <w:jc w:val="center"/>
      <w:outlineLvl w:val="0"/>
    </w:pPr>
    <w:rPr>
      <w:rFonts w:ascii="黑体" w:eastAsia="黑体" w:hAnsi="黑体" w:cs="黑体"/>
      <w:kern w:val="0"/>
      <w:sz w:val="32"/>
      <w:szCs w:val="32"/>
      <w:lang w:val="zh-CN" w:bidi="zh-CN"/>
      <w14:ligatures w14:val="none"/>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Calibri Light" w:eastAsia="宋体" w:hAnsi="Calibri Light" w:cs="Times New Roman"/>
      <w:b/>
      <w:bCs/>
      <w:sz w:val="32"/>
      <w:szCs w:val="32"/>
    </w:rPr>
  </w:style>
  <w:style w:type="paragraph" w:styleId="3">
    <w:name w:val="heading 3"/>
    <w:basedOn w:val="a"/>
    <w:next w:val="a"/>
    <w:link w:val="30"/>
    <w:autoRedefine/>
    <w:uiPriority w:val="9"/>
    <w:unhideWhenUsed/>
    <w:qFormat/>
    <w:pPr>
      <w:keepNext/>
      <w:keepLines/>
      <w:numPr>
        <w:numId w:val="1"/>
      </w:numPr>
      <w:spacing w:before="120" w:after="120" w:line="360" w:lineRule="auto"/>
      <w:ind w:left="7791"/>
      <w:outlineLvl w:val="2"/>
    </w:pPr>
    <w:rPr>
      <w:rFonts w:eastAsia="仿宋_GB2312"/>
      <w:b/>
      <w:bCs/>
      <w:sz w:val="32"/>
      <w:szCs w:val="32"/>
      <w14:ligatures w14:val="none"/>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Calibri Light" w:eastAsia="宋体" w:hAnsi="Calibri Light" w:cs="Times New Roman"/>
      <w:b/>
      <w:bCs/>
      <w:sz w:val="28"/>
      <w:szCs w:val="28"/>
    </w:rPr>
  </w:style>
  <w:style w:type="paragraph" w:styleId="5">
    <w:name w:val="heading 5"/>
    <w:basedOn w:val="a"/>
    <w:next w:val="a"/>
    <w:link w:val="50"/>
    <w:uiPriority w:val="9"/>
    <w:semiHidden/>
    <w:unhideWhenUsed/>
    <w:qFormat/>
    <w:pPr>
      <w:keepNext/>
      <w:keepLines/>
      <w:spacing w:before="280" w:after="290" w:line="376" w:lineRule="auto"/>
      <w:outlineLvl w:val="4"/>
    </w:pPr>
    <w:rPr>
      <w:rFonts w:ascii="Calibri" w:eastAsia="宋体" w:hAnsi="Calibri" w:cs="Times New Roman"/>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unhideWhenUsed/>
    <w:qFormat/>
    <w:pPr>
      <w:spacing w:line="560" w:lineRule="exact"/>
      <w:ind w:leftChars="1200" w:left="2520"/>
    </w:pPr>
    <w:rPr>
      <w:rFonts w:eastAsia="仿宋_GB2312"/>
      <w:sz w:val="32"/>
      <w14:ligatures w14:val="none"/>
    </w:rPr>
  </w:style>
  <w:style w:type="paragraph" w:styleId="a3">
    <w:name w:val="Normal Indent"/>
    <w:basedOn w:val="a"/>
    <w:autoRedefine/>
    <w:uiPriority w:val="99"/>
    <w:unhideWhenUsed/>
    <w:qFormat/>
    <w:pPr>
      <w:ind w:firstLineChars="200" w:firstLine="420"/>
    </w:pPr>
    <w:rPr>
      <w:rFonts w:ascii="仿宋_GB2312" w:eastAsia="仿宋_GB2312" w:hAnsi="华文中宋" w:cs="Times New Roman"/>
      <w:sz w:val="32"/>
      <w:szCs w:val="32"/>
      <w14:ligatures w14:val="none"/>
    </w:rPr>
  </w:style>
  <w:style w:type="paragraph" w:styleId="a4">
    <w:name w:val="Document Map"/>
    <w:basedOn w:val="a"/>
    <w:link w:val="a5"/>
    <w:autoRedefine/>
    <w:uiPriority w:val="99"/>
    <w:semiHidden/>
    <w:unhideWhenUsed/>
    <w:qFormat/>
    <w:pPr>
      <w:spacing w:line="560" w:lineRule="exact"/>
    </w:pPr>
    <w:rPr>
      <w:rFonts w:ascii="宋体" w:eastAsia="宋体"/>
      <w:sz w:val="18"/>
      <w:szCs w:val="18"/>
      <w14:ligatures w14:val="none"/>
    </w:rPr>
  </w:style>
  <w:style w:type="paragraph" w:styleId="a6">
    <w:name w:val="annotation text"/>
    <w:basedOn w:val="a"/>
    <w:link w:val="a7"/>
    <w:uiPriority w:val="99"/>
    <w:semiHidden/>
    <w:unhideWhenUsed/>
    <w:pPr>
      <w:jc w:val="left"/>
    </w:pPr>
  </w:style>
  <w:style w:type="paragraph" w:styleId="a8">
    <w:name w:val="Body Text"/>
    <w:basedOn w:val="a"/>
    <w:link w:val="a9"/>
    <w:autoRedefine/>
    <w:uiPriority w:val="1"/>
    <w:qFormat/>
    <w:pPr>
      <w:autoSpaceDE w:val="0"/>
      <w:autoSpaceDN w:val="0"/>
      <w:spacing w:before="161" w:line="560" w:lineRule="exact"/>
      <w:ind w:left="720" w:firstLine="479"/>
      <w:jc w:val="left"/>
    </w:pPr>
    <w:rPr>
      <w:rFonts w:ascii="宋体" w:eastAsia="宋体" w:hAnsi="宋体" w:cs="宋体"/>
      <w:kern w:val="0"/>
      <w:sz w:val="24"/>
      <w:szCs w:val="24"/>
      <w:lang w:val="zh-CN" w:bidi="zh-CN"/>
      <w14:ligatures w14:val="none"/>
    </w:rPr>
  </w:style>
  <w:style w:type="paragraph" w:styleId="aa">
    <w:name w:val="Body Text Indent"/>
    <w:basedOn w:val="a"/>
    <w:next w:val="a3"/>
    <w:link w:val="ab"/>
    <w:autoRedefine/>
    <w:qFormat/>
    <w:pPr>
      <w:spacing w:line="360" w:lineRule="auto"/>
      <w:ind w:firstLineChars="196" w:firstLine="630"/>
    </w:pPr>
    <w:rPr>
      <w:rFonts w:ascii="黑体" w:eastAsia="黑体" w:hAnsi="宋体" w:cs="黑体"/>
      <w:b/>
      <w:bCs/>
      <w:sz w:val="32"/>
      <w14:ligatures w14:val="none"/>
    </w:rPr>
  </w:style>
  <w:style w:type="paragraph" w:styleId="TOC5">
    <w:name w:val="toc 5"/>
    <w:basedOn w:val="a"/>
    <w:next w:val="a"/>
    <w:autoRedefine/>
    <w:uiPriority w:val="39"/>
    <w:unhideWhenUsed/>
    <w:qFormat/>
    <w:pPr>
      <w:spacing w:line="560" w:lineRule="exact"/>
      <w:ind w:leftChars="800" w:left="1680"/>
    </w:pPr>
    <w:rPr>
      <w:rFonts w:eastAsia="仿宋_GB2312"/>
      <w:sz w:val="32"/>
      <w14:ligatures w14:val="none"/>
    </w:rPr>
  </w:style>
  <w:style w:type="paragraph" w:styleId="TOC3">
    <w:name w:val="toc 3"/>
    <w:basedOn w:val="a"/>
    <w:next w:val="a"/>
    <w:autoRedefine/>
    <w:uiPriority w:val="39"/>
    <w:unhideWhenUsed/>
    <w:qFormat/>
    <w:pPr>
      <w:spacing w:line="560" w:lineRule="exact"/>
      <w:ind w:leftChars="400" w:left="840"/>
    </w:pPr>
    <w:rPr>
      <w:rFonts w:eastAsia="仿宋_GB2312"/>
      <w:sz w:val="24"/>
      <w14:ligatures w14:val="none"/>
    </w:rPr>
  </w:style>
  <w:style w:type="paragraph" w:styleId="ac">
    <w:name w:val="Plain Text"/>
    <w:basedOn w:val="a"/>
    <w:link w:val="ad"/>
    <w:autoRedefine/>
    <w:qFormat/>
    <w:pPr>
      <w:spacing w:line="560" w:lineRule="exact"/>
    </w:pPr>
    <w:rPr>
      <w:rFonts w:ascii="宋体" w:eastAsia="仿宋_GB2312" w:hAnsi="Courier New" w:cs="Courier New"/>
      <w:sz w:val="32"/>
      <w:szCs w:val="21"/>
      <w14:ligatures w14:val="none"/>
    </w:rPr>
  </w:style>
  <w:style w:type="paragraph" w:styleId="TOC8">
    <w:name w:val="toc 8"/>
    <w:basedOn w:val="a"/>
    <w:next w:val="a"/>
    <w:autoRedefine/>
    <w:uiPriority w:val="39"/>
    <w:unhideWhenUsed/>
    <w:qFormat/>
    <w:pPr>
      <w:spacing w:line="560" w:lineRule="exact"/>
      <w:ind w:leftChars="1400" w:left="2940"/>
    </w:pPr>
    <w:rPr>
      <w:rFonts w:eastAsia="仿宋_GB2312"/>
      <w:sz w:val="32"/>
      <w14:ligatures w14:val="none"/>
    </w:rPr>
  </w:style>
  <w:style w:type="paragraph" w:styleId="ae">
    <w:name w:val="Balloon Text"/>
    <w:basedOn w:val="a"/>
    <w:link w:val="af"/>
    <w:autoRedefine/>
    <w:uiPriority w:val="99"/>
    <w:semiHidden/>
    <w:unhideWhenUsed/>
    <w:qFormat/>
    <w:pPr>
      <w:spacing w:line="560" w:lineRule="exact"/>
    </w:pPr>
    <w:rPr>
      <w:rFonts w:eastAsia="仿宋_GB2312"/>
      <w:sz w:val="18"/>
      <w:szCs w:val="18"/>
      <w14:ligatures w14:val="none"/>
    </w:rPr>
  </w:style>
  <w:style w:type="paragraph" w:styleId="af0">
    <w:name w:val="footer"/>
    <w:basedOn w:val="a"/>
    <w:link w:val="af1"/>
    <w:uiPriority w:val="99"/>
    <w:unhideWhenUsed/>
    <w:qFormat/>
    <w:pPr>
      <w:tabs>
        <w:tab w:val="center" w:pos="4153"/>
        <w:tab w:val="right" w:pos="8306"/>
      </w:tabs>
      <w:snapToGrid w:val="0"/>
      <w:jc w:val="left"/>
    </w:pPr>
    <w:rPr>
      <w:sz w:val="18"/>
      <w:szCs w:val="18"/>
    </w:rPr>
  </w:style>
  <w:style w:type="paragraph" w:styleId="af2">
    <w:name w:val="header"/>
    <w:basedOn w:val="a"/>
    <w:link w:val="af3"/>
    <w:uiPriority w:val="99"/>
    <w:unhideWhenUsed/>
    <w:qFormat/>
    <w:pPr>
      <w:tabs>
        <w:tab w:val="center" w:pos="4153"/>
        <w:tab w:val="right" w:pos="8306"/>
      </w:tabs>
      <w:snapToGrid w:val="0"/>
      <w:jc w:val="center"/>
    </w:pPr>
    <w:rPr>
      <w:sz w:val="18"/>
      <w:szCs w:val="18"/>
    </w:rPr>
  </w:style>
  <w:style w:type="paragraph" w:styleId="TOC1">
    <w:name w:val="toc 1"/>
    <w:basedOn w:val="a"/>
    <w:next w:val="a"/>
    <w:autoRedefine/>
    <w:uiPriority w:val="39"/>
    <w:unhideWhenUsed/>
    <w:qFormat/>
    <w:rsid w:val="007867A3"/>
    <w:pPr>
      <w:tabs>
        <w:tab w:val="left" w:pos="1260"/>
        <w:tab w:val="right" w:pos="9016"/>
      </w:tabs>
      <w:spacing w:line="490" w:lineRule="exact"/>
      <w:jc w:val="distribute"/>
    </w:pPr>
    <w:rPr>
      <w:rFonts w:ascii="方正小标宋简体" w:eastAsia="方正小标宋简体" w:hAnsi="Times New Roman" w:cs="Times New Roman"/>
      <w:b/>
      <w:bCs/>
      <w:noProof/>
      <w:kern w:val="44"/>
      <w:sz w:val="32"/>
      <w:szCs w:val="32"/>
      <w:lang w:bidi="zh-CN"/>
      <w14:ligatures w14:val="none"/>
    </w:rPr>
  </w:style>
  <w:style w:type="paragraph" w:styleId="TOC4">
    <w:name w:val="toc 4"/>
    <w:basedOn w:val="a"/>
    <w:next w:val="a"/>
    <w:autoRedefine/>
    <w:uiPriority w:val="39"/>
    <w:unhideWhenUsed/>
    <w:qFormat/>
    <w:pPr>
      <w:spacing w:line="560" w:lineRule="exact"/>
      <w:ind w:leftChars="600" w:left="1260"/>
    </w:pPr>
    <w:rPr>
      <w:rFonts w:eastAsia="仿宋_GB2312"/>
      <w:sz w:val="32"/>
      <w14:ligatures w14:val="none"/>
    </w:rPr>
  </w:style>
  <w:style w:type="paragraph" w:styleId="af4">
    <w:name w:val="Subtitle"/>
    <w:basedOn w:val="a"/>
    <w:next w:val="a"/>
    <w:link w:val="af5"/>
    <w:uiPriority w:val="11"/>
    <w:qFormat/>
    <w:pPr>
      <w:spacing w:before="240" w:after="60" w:line="312" w:lineRule="auto"/>
      <w:jc w:val="center"/>
      <w:outlineLvl w:val="1"/>
    </w:pPr>
    <w:rPr>
      <w:rFonts w:ascii="Calibri Light" w:hAnsi="Calibri Light" w:cs="Times New Roman"/>
      <w:b/>
      <w:bCs/>
      <w:kern w:val="28"/>
      <w:sz w:val="32"/>
      <w:szCs w:val="32"/>
    </w:rPr>
  </w:style>
  <w:style w:type="paragraph" w:styleId="TOC6">
    <w:name w:val="toc 6"/>
    <w:basedOn w:val="a"/>
    <w:next w:val="a"/>
    <w:autoRedefine/>
    <w:uiPriority w:val="39"/>
    <w:unhideWhenUsed/>
    <w:qFormat/>
    <w:pPr>
      <w:spacing w:line="560" w:lineRule="exact"/>
      <w:ind w:leftChars="1000" w:left="2100"/>
    </w:pPr>
    <w:rPr>
      <w:rFonts w:eastAsia="仿宋_GB2312"/>
      <w:sz w:val="32"/>
      <w14:ligatures w14:val="none"/>
    </w:rPr>
  </w:style>
  <w:style w:type="paragraph" w:styleId="TOC2">
    <w:name w:val="toc 2"/>
    <w:basedOn w:val="a"/>
    <w:next w:val="a"/>
    <w:autoRedefine/>
    <w:uiPriority w:val="39"/>
    <w:unhideWhenUsed/>
    <w:qFormat/>
    <w:rsid w:val="0015741D"/>
    <w:pPr>
      <w:tabs>
        <w:tab w:val="left" w:pos="1680"/>
        <w:tab w:val="right" w:leader="dot" w:pos="9016"/>
      </w:tabs>
      <w:spacing w:line="560" w:lineRule="exact"/>
      <w:ind w:leftChars="200" w:left="420"/>
    </w:pPr>
    <w:rPr>
      <w:rFonts w:ascii="黑体" w:eastAsia="黑体" w:hAnsi="黑体" w:cs="Times New Roman"/>
      <w:noProof/>
      <w:sz w:val="28"/>
      <w:szCs w:val="28"/>
      <w14:ligatures w14:val="none"/>
    </w:rPr>
  </w:style>
  <w:style w:type="paragraph" w:styleId="TOC9">
    <w:name w:val="toc 9"/>
    <w:basedOn w:val="a"/>
    <w:next w:val="a"/>
    <w:autoRedefine/>
    <w:uiPriority w:val="39"/>
    <w:unhideWhenUsed/>
    <w:qFormat/>
    <w:pPr>
      <w:spacing w:line="560" w:lineRule="exact"/>
      <w:ind w:leftChars="1600" w:left="3360"/>
    </w:pPr>
    <w:rPr>
      <w:rFonts w:eastAsia="仿宋_GB2312"/>
      <w:sz w:val="32"/>
      <w14:ligatures w14:val="none"/>
    </w:rPr>
  </w:style>
  <w:style w:type="paragraph" w:styleId="af6">
    <w:name w:val="Normal (Web)"/>
    <w:basedOn w:val="a"/>
    <w:autoRedefine/>
    <w:uiPriority w:val="99"/>
    <w:unhideWhenUsed/>
    <w:qFormat/>
    <w:pPr>
      <w:widowControl/>
      <w:spacing w:before="100" w:beforeAutospacing="1" w:after="100" w:afterAutospacing="1" w:line="560" w:lineRule="exact"/>
      <w:jc w:val="left"/>
    </w:pPr>
    <w:rPr>
      <w:rFonts w:ascii="宋体" w:eastAsia="宋体" w:hAnsi="宋体" w:cs="宋体"/>
      <w:kern w:val="0"/>
      <w:sz w:val="24"/>
      <w:szCs w:val="24"/>
      <w14:ligatures w14:val="none"/>
    </w:rPr>
  </w:style>
  <w:style w:type="paragraph" w:styleId="af7">
    <w:name w:val="annotation subject"/>
    <w:basedOn w:val="a6"/>
    <w:next w:val="a6"/>
    <w:link w:val="af8"/>
    <w:autoRedefine/>
    <w:uiPriority w:val="99"/>
    <w:semiHidden/>
    <w:unhideWhenUsed/>
    <w:qFormat/>
    <w:rPr>
      <w:b/>
      <w:bCs/>
      <w14:ligatures w14:val="none"/>
    </w:rPr>
  </w:style>
  <w:style w:type="paragraph" w:styleId="21">
    <w:name w:val="Body Text First Indent 2"/>
    <w:basedOn w:val="aa"/>
    <w:link w:val="22"/>
    <w:autoRedefine/>
    <w:qFormat/>
    <w:pPr>
      <w:ind w:firstLineChars="200" w:firstLine="420"/>
    </w:pPr>
  </w:style>
  <w:style w:type="table" w:styleId="af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basedOn w:val="a0"/>
    <w:autoRedefine/>
    <w:uiPriority w:val="22"/>
    <w:qFormat/>
    <w:rPr>
      <w:b/>
      <w:bCs/>
    </w:rPr>
  </w:style>
  <w:style w:type="character" w:styleId="afb">
    <w:name w:val="page number"/>
    <w:basedOn w:val="a0"/>
    <w:autoRedefine/>
    <w:qFormat/>
  </w:style>
  <w:style w:type="character" w:styleId="afc">
    <w:name w:val="FollowedHyperlink"/>
    <w:basedOn w:val="a0"/>
    <w:autoRedefine/>
    <w:uiPriority w:val="99"/>
    <w:semiHidden/>
    <w:unhideWhenUsed/>
    <w:qFormat/>
    <w:rPr>
      <w:color w:val="954F72"/>
      <w:u w:val="single"/>
    </w:rPr>
  </w:style>
  <w:style w:type="character" w:styleId="afd">
    <w:name w:val="Emphasis"/>
    <w:basedOn w:val="a0"/>
    <w:autoRedefine/>
    <w:uiPriority w:val="20"/>
    <w:qFormat/>
    <w:rPr>
      <w:i/>
      <w:iCs/>
    </w:rPr>
  </w:style>
  <w:style w:type="character" w:styleId="afe">
    <w:name w:val="Hyperlink"/>
    <w:basedOn w:val="a0"/>
    <w:uiPriority w:val="99"/>
    <w:unhideWhenUsed/>
    <w:rPr>
      <w:color w:val="0563C1" w:themeColor="hyperlink"/>
      <w:u w:val="single"/>
    </w:rPr>
  </w:style>
  <w:style w:type="character" w:styleId="aff">
    <w:name w:val="annotation reference"/>
    <w:basedOn w:val="a0"/>
    <w:autoRedefine/>
    <w:uiPriority w:val="99"/>
    <w:semiHidden/>
    <w:unhideWhenUsed/>
    <w:qFormat/>
    <w:rPr>
      <w:sz w:val="21"/>
      <w:szCs w:val="21"/>
    </w:rPr>
  </w:style>
  <w:style w:type="character" w:customStyle="1" w:styleId="af3">
    <w:name w:val="页眉 字符"/>
    <w:basedOn w:val="a0"/>
    <w:link w:val="af2"/>
    <w:uiPriority w:val="99"/>
    <w:qFormat/>
    <w:rPr>
      <w:sz w:val="18"/>
      <w:szCs w:val="18"/>
    </w:rPr>
  </w:style>
  <w:style w:type="character" w:customStyle="1" w:styleId="af1">
    <w:name w:val="页脚 字符"/>
    <w:basedOn w:val="a0"/>
    <w:link w:val="af0"/>
    <w:uiPriority w:val="99"/>
    <w:qFormat/>
    <w:rPr>
      <w:sz w:val="18"/>
      <w:szCs w:val="18"/>
    </w:rPr>
  </w:style>
  <w:style w:type="character" w:customStyle="1" w:styleId="10">
    <w:name w:val="标题 1 字符"/>
    <w:basedOn w:val="a0"/>
    <w:link w:val="1"/>
    <w:uiPriority w:val="9"/>
    <w:qFormat/>
    <w:rPr>
      <w:rFonts w:ascii="黑体" w:eastAsia="黑体" w:hAnsi="黑体" w:cs="黑体"/>
      <w:kern w:val="0"/>
      <w:sz w:val="32"/>
      <w:szCs w:val="32"/>
      <w:lang w:val="zh-CN" w:bidi="zh-CN"/>
      <w14:ligatures w14:val="none"/>
    </w:rPr>
  </w:style>
  <w:style w:type="paragraph" w:customStyle="1" w:styleId="210">
    <w:name w:val="标题 21"/>
    <w:basedOn w:val="a"/>
    <w:next w:val="a"/>
    <w:autoRedefine/>
    <w:uiPriority w:val="9"/>
    <w:unhideWhenUsed/>
    <w:qFormat/>
    <w:pPr>
      <w:keepNext/>
      <w:keepLines/>
      <w:spacing w:before="260" w:after="260" w:line="416" w:lineRule="auto"/>
      <w:outlineLvl w:val="1"/>
    </w:pPr>
    <w:rPr>
      <w:rFonts w:ascii="Calibri Light" w:eastAsia="宋体" w:hAnsi="Calibri Light" w:cs="Times New Roman"/>
      <w:b/>
      <w:bCs/>
      <w:sz w:val="32"/>
      <w:szCs w:val="32"/>
      <w14:ligatures w14:val="none"/>
    </w:rPr>
  </w:style>
  <w:style w:type="character" w:customStyle="1" w:styleId="30">
    <w:name w:val="标题 3 字符"/>
    <w:basedOn w:val="a0"/>
    <w:link w:val="3"/>
    <w:uiPriority w:val="9"/>
    <w:qFormat/>
    <w:rPr>
      <w:rFonts w:eastAsia="仿宋_GB2312"/>
      <w:b/>
      <w:bCs/>
      <w:sz w:val="32"/>
      <w:szCs w:val="32"/>
      <w14:ligatures w14:val="none"/>
    </w:rPr>
  </w:style>
  <w:style w:type="paragraph" w:customStyle="1" w:styleId="41">
    <w:name w:val="标题 41"/>
    <w:basedOn w:val="a"/>
    <w:next w:val="a"/>
    <w:autoRedefine/>
    <w:uiPriority w:val="9"/>
    <w:unhideWhenUsed/>
    <w:qFormat/>
    <w:pPr>
      <w:keepNext/>
      <w:keepLines/>
      <w:spacing w:before="280" w:after="290" w:line="376" w:lineRule="auto"/>
      <w:outlineLvl w:val="3"/>
    </w:pPr>
    <w:rPr>
      <w:rFonts w:ascii="Calibri Light" w:eastAsia="宋体" w:hAnsi="Calibri Light" w:cs="Times New Roman"/>
      <w:b/>
      <w:bCs/>
      <w:sz w:val="28"/>
      <w:szCs w:val="28"/>
      <w14:ligatures w14:val="none"/>
    </w:rPr>
  </w:style>
  <w:style w:type="paragraph" w:customStyle="1" w:styleId="51">
    <w:name w:val="标题 51"/>
    <w:basedOn w:val="a"/>
    <w:next w:val="a"/>
    <w:autoRedefine/>
    <w:uiPriority w:val="9"/>
    <w:unhideWhenUsed/>
    <w:qFormat/>
    <w:pPr>
      <w:keepNext/>
      <w:keepLines/>
      <w:spacing w:before="280" w:after="290" w:line="376" w:lineRule="auto"/>
      <w:outlineLvl w:val="4"/>
    </w:pPr>
    <w:rPr>
      <w:b/>
      <w:bCs/>
      <w:sz w:val="28"/>
      <w:szCs w:val="28"/>
      <w14:ligatures w14:val="none"/>
    </w:rPr>
  </w:style>
  <w:style w:type="character" w:customStyle="1" w:styleId="a5">
    <w:name w:val="文档结构图 字符"/>
    <w:basedOn w:val="a0"/>
    <w:link w:val="a4"/>
    <w:uiPriority w:val="99"/>
    <w:semiHidden/>
    <w:qFormat/>
    <w:rPr>
      <w:rFonts w:ascii="宋体" w:eastAsia="宋体"/>
      <w:sz w:val="18"/>
      <w:szCs w:val="18"/>
      <w14:ligatures w14:val="none"/>
    </w:rPr>
  </w:style>
  <w:style w:type="paragraph" w:customStyle="1" w:styleId="11">
    <w:name w:val="批注文字1"/>
    <w:basedOn w:val="a"/>
    <w:next w:val="a6"/>
    <w:autoRedefine/>
    <w:uiPriority w:val="99"/>
    <w:semiHidden/>
    <w:unhideWhenUsed/>
    <w:qFormat/>
    <w:pPr>
      <w:jc w:val="left"/>
    </w:pPr>
    <w:rPr>
      <w14:ligatures w14:val="none"/>
    </w:rPr>
  </w:style>
  <w:style w:type="character" w:customStyle="1" w:styleId="a9">
    <w:name w:val="正文文本 字符"/>
    <w:basedOn w:val="a0"/>
    <w:link w:val="a8"/>
    <w:uiPriority w:val="1"/>
    <w:qFormat/>
    <w:rPr>
      <w:rFonts w:ascii="宋体" w:eastAsia="宋体" w:hAnsi="宋体" w:cs="宋体"/>
      <w:kern w:val="0"/>
      <w:sz w:val="24"/>
      <w:szCs w:val="24"/>
      <w:lang w:val="zh-CN" w:bidi="zh-CN"/>
      <w14:ligatures w14:val="none"/>
    </w:rPr>
  </w:style>
  <w:style w:type="character" w:customStyle="1" w:styleId="ab">
    <w:name w:val="正文文本缩进 字符"/>
    <w:basedOn w:val="a0"/>
    <w:link w:val="aa"/>
    <w:qFormat/>
    <w:rPr>
      <w:rFonts w:ascii="黑体" w:eastAsia="黑体" w:hAnsi="宋体" w:cs="黑体"/>
      <w:b/>
      <w:bCs/>
      <w:sz w:val="32"/>
      <w14:ligatures w14:val="none"/>
    </w:rPr>
  </w:style>
  <w:style w:type="character" w:customStyle="1" w:styleId="ad">
    <w:name w:val="纯文本 字符"/>
    <w:basedOn w:val="a0"/>
    <w:link w:val="ac"/>
    <w:qFormat/>
    <w:rPr>
      <w:rFonts w:ascii="宋体" w:eastAsia="仿宋_GB2312" w:hAnsi="Courier New" w:cs="Courier New"/>
      <w:sz w:val="32"/>
      <w:szCs w:val="21"/>
      <w14:ligatures w14:val="none"/>
    </w:rPr>
  </w:style>
  <w:style w:type="character" w:customStyle="1" w:styleId="af">
    <w:name w:val="批注框文本 字符"/>
    <w:basedOn w:val="a0"/>
    <w:link w:val="ae"/>
    <w:uiPriority w:val="99"/>
    <w:semiHidden/>
    <w:qFormat/>
    <w:rPr>
      <w:rFonts w:eastAsia="仿宋_GB2312"/>
      <w:sz w:val="18"/>
      <w:szCs w:val="18"/>
      <w14:ligatures w14:val="none"/>
    </w:rPr>
  </w:style>
  <w:style w:type="paragraph" w:customStyle="1" w:styleId="12">
    <w:name w:val="副标题1"/>
    <w:basedOn w:val="a"/>
    <w:next w:val="a"/>
    <w:autoRedefine/>
    <w:uiPriority w:val="11"/>
    <w:qFormat/>
    <w:pPr>
      <w:spacing w:before="240" w:after="60" w:line="312" w:lineRule="atLeast"/>
      <w:jc w:val="center"/>
      <w:outlineLvl w:val="1"/>
    </w:pPr>
    <w:rPr>
      <w:rFonts w:ascii="Calibri Light" w:eastAsia="宋体" w:hAnsi="Calibri Light" w:cs="Times New Roman"/>
      <w:b/>
      <w:bCs/>
      <w:kern w:val="28"/>
      <w:sz w:val="32"/>
      <w:szCs w:val="32"/>
      <w14:ligatures w14:val="none"/>
    </w:rPr>
  </w:style>
  <w:style w:type="character" w:customStyle="1" w:styleId="a7">
    <w:name w:val="批注文字 字符"/>
    <w:basedOn w:val="a0"/>
    <w:link w:val="a6"/>
    <w:uiPriority w:val="99"/>
    <w:semiHidden/>
    <w:qFormat/>
  </w:style>
  <w:style w:type="character" w:customStyle="1" w:styleId="af8">
    <w:name w:val="批注主题 字符"/>
    <w:basedOn w:val="a7"/>
    <w:link w:val="af7"/>
    <w:uiPriority w:val="99"/>
    <w:semiHidden/>
    <w:qFormat/>
    <w:rPr>
      <w:b/>
      <w:bCs/>
      <w14:ligatures w14:val="none"/>
    </w:rPr>
  </w:style>
  <w:style w:type="character" w:customStyle="1" w:styleId="22">
    <w:name w:val="正文文本首行缩进 2 字符"/>
    <w:basedOn w:val="ab"/>
    <w:link w:val="21"/>
    <w:qFormat/>
    <w:rPr>
      <w:rFonts w:ascii="黑体" w:eastAsia="黑体" w:hAnsi="宋体" w:cs="黑体"/>
      <w:b/>
      <w:bCs/>
      <w:sz w:val="32"/>
      <w14:ligatures w14:val="none"/>
    </w:rPr>
  </w:style>
  <w:style w:type="table" w:customStyle="1" w:styleId="13">
    <w:name w:val="网格型1"/>
    <w:basedOn w:val="a1"/>
    <w:autoRedefine/>
    <w:uiPriority w:val="39"/>
    <w:qFormat/>
    <w:pPr>
      <w:widowControl w:val="0"/>
    </w:pPr>
    <w:rPr>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4">
    <w:name w:val="超链接1"/>
    <w:basedOn w:val="a0"/>
    <w:autoRedefine/>
    <w:uiPriority w:val="99"/>
    <w:unhideWhenUsed/>
    <w:qFormat/>
    <w:rPr>
      <w:color w:val="0563C1"/>
      <w:u w:val="single"/>
    </w:rPr>
  </w:style>
  <w:style w:type="paragraph" w:customStyle="1" w:styleId="aff0">
    <w:name w:val="专栏"/>
    <w:basedOn w:val="a"/>
    <w:link w:val="aff1"/>
    <w:autoRedefine/>
    <w:qFormat/>
    <w:pPr>
      <w:spacing w:line="440" w:lineRule="exact"/>
      <w:ind w:firstLineChars="200" w:firstLine="200"/>
    </w:pPr>
    <w:rPr>
      <w:rFonts w:ascii="Times New Roman" w:eastAsia="仿宋_GB2312" w:hAnsi="Times New Roman"/>
      <w:sz w:val="28"/>
      <w14:ligatures w14:val="none"/>
    </w:rPr>
  </w:style>
  <w:style w:type="character" w:customStyle="1" w:styleId="20">
    <w:name w:val="标题 2 字符"/>
    <w:basedOn w:val="a0"/>
    <w:link w:val="2"/>
    <w:autoRedefine/>
    <w:uiPriority w:val="9"/>
    <w:qFormat/>
    <w:rPr>
      <w:rFonts w:ascii="Calibri Light" w:eastAsia="宋体" w:hAnsi="Calibri Light" w:cs="Times New Roman"/>
      <w:b/>
      <w:bCs/>
      <w:kern w:val="2"/>
      <w:sz w:val="32"/>
      <w:szCs w:val="32"/>
    </w:rPr>
  </w:style>
  <w:style w:type="character" w:customStyle="1" w:styleId="40">
    <w:name w:val="标题 4 字符"/>
    <w:basedOn w:val="a0"/>
    <w:link w:val="4"/>
    <w:autoRedefine/>
    <w:uiPriority w:val="9"/>
    <w:qFormat/>
    <w:rPr>
      <w:rFonts w:ascii="Calibri Light" w:eastAsia="宋体" w:hAnsi="Calibri Light" w:cs="Times New Roman"/>
      <w:b/>
      <w:bCs/>
      <w:kern w:val="2"/>
      <w:sz w:val="28"/>
      <w:szCs w:val="28"/>
    </w:rPr>
  </w:style>
  <w:style w:type="paragraph" w:styleId="aff2">
    <w:name w:val="List Paragraph"/>
    <w:basedOn w:val="a"/>
    <w:autoRedefine/>
    <w:uiPriority w:val="34"/>
    <w:qFormat/>
    <w:pPr>
      <w:spacing w:line="560" w:lineRule="exact"/>
      <w:ind w:firstLineChars="200" w:firstLine="420"/>
    </w:pPr>
    <w:rPr>
      <w:rFonts w:eastAsia="仿宋_GB2312"/>
      <w:sz w:val="32"/>
      <w14:ligatures w14:val="none"/>
    </w:rPr>
  </w:style>
  <w:style w:type="paragraph" w:customStyle="1" w:styleId="Default">
    <w:name w:val="Default"/>
    <w:link w:val="Default0"/>
    <w:autoRedefine/>
    <w:qFormat/>
    <w:pPr>
      <w:widowControl w:val="0"/>
      <w:autoSpaceDE w:val="0"/>
      <w:autoSpaceDN w:val="0"/>
      <w:adjustRightInd w:val="0"/>
    </w:pPr>
    <w:rPr>
      <w:rFonts w:ascii="仿宋" w:hAnsi="仿宋" w:cs="仿宋"/>
      <w:color w:val="000000"/>
      <w:sz w:val="24"/>
      <w:szCs w:val="24"/>
    </w:rPr>
  </w:style>
  <w:style w:type="character" w:customStyle="1" w:styleId="Default0">
    <w:name w:val="Default 字符"/>
    <w:link w:val="Default"/>
    <w:autoRedefine/>
    <w:qFormat/>
    <w:rPr>
      <w:rFonts w:ascii="仿宋" w:hAnsi="仿宋" w:cs="仿宋"/>
      <w:color w:val="000000"/>
      <w:kern w:val="0"/>
      <w:sz w:val="24"/>
      <w:szCs w:val="24"/>
      <w14:ligatures w14:val="none"/>
    </w:rPr>
  </w:style>
  <w:style w:type="table" w:customStyle="1" w:styleId="110">
    <w:name w:val="网格型11"/>
    <w:basedOn w:val="a1"/>
    <w:autoRedefine/>
    <w:uiPriority w:val="3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文本正文"/>
    <w:basedOn w:val="Default"/>
    <w:link w:val="aff4"/>
    <w:autoRedefine/>
    <w:qFormat/>
    <w:pPr>
      <w:adjustRightInd/>
      <w:spacing w:line="600" w:lineRule="exact"/>
      <w:ind w:firstLineChars="200" w:firstLine="200"/>
      <w:jc w:val="both"/>
    </w:pPr>
    <w:rPr>
      <w:rFonts w:ascii="仿宋_GB2312" w:eastAsia="仿宋_GB2312" w:cs="Times New Roman"/>
      <w:bCs/>
      <w:color w:val="auto"/>
      <w:kern w:val="2"/>
      <w:sz w:val="32"/>
      <w:szCs w:val="32"/>
    </w:rPr>
  </w:style>
  <w:style w:type="character" w:customStyle="1" w:styleId="aff4">
    <w:name w:val="文本正文 字符"/>
    <w:basedOn w:val="a0"/>
    <w:link w:val="aff3"/>
    <w:autoRedefine/>
    <w:qFormat/>
    <w:rPr>
      <w:rFonts w:ascii="仿宋_GB2312" w:eastAsia="仿宋_GB2312" w:hAnsi="仿宋" w:cs="Times New Roman"/>
      <w:bCs/>
      <w:sz w:val="32"/>
      <w:szCs w:val="32"/>
      <w14:ligatures w14:val="none"/>
    </w:rPr>
  </w:style>
  <w:style w:type="paragraph" w:customStyle="1" w:styleId="31">
    <w:name w:val="标题3"/>
    <w:basedOn w:val="3"/>
    <w:link w:val="32"/>
    <w:autoRedefine/>
    <w:qFormat/>
    <w:pPr>
      <w:snapToGrid w:val="0"/>
    </w:pPr>
    <w:rPr>
      <w:rFonts w:ascii="Times New Roman" w:hAnsi="Times New Roman"/>
    </w:rPr>
  </w:style>
  <w:style w:type="character" w:customStyle="1" w:styleId="32">
    <w:name w:val="标题3 字符"/>
    <w:basedOn w:val="30"/>
    <w:link w:val="31"/>
    <w:autoRedefine/>
    <w:qFormat/>
    <w:rPr>
      <w:rFonts w:ascii="Times New Roman" w:eastAsia="仿宋_GB2312" w:hAnsi="Times New Roman"/>
      <w:b/>
      <w:bCs/>
      <w:sz w:val="32"/>
      <w:szCs w:val="32"/>
      <w14:ligatures w14:val="none"/>
    </w:rPr>
  </w:style>
  <w:style w:type="paragraph" w:customStyle="1" w:styleId="42">
    <w:name w:val="标题4"/>
    <w:basedOn w:val="4"/>
    <w:link w:val="43"/>
    <w:autoRedefine/>
    <w:qFormat/>
  </w:style>
  <w:style w:type="character" w:customStyle="1" w:styleId="43">
    <w:name w:val="标题4 字符"/>
    <w:basedOn w:val="40"/>
    <w:link w:val="42"/>
    <w:autoRedefine/>
    <w:qFormat/>
    <w:rPr>
      <w:rFonts w:ascii="Calibri Light" w:eastAsia="宋体" w:hAnsi="Calibri Light" w:cs="Times New Roman"/>
      <w:b/>
      <w:bCs/>
      <w:kern w:val="2"/>
      <w:sz w:val="28"/>
      <w:szCs w:val="28"/>
    </w:rPr>
  </w:style>
  <w:style w:type="paragraph" w:customStyle="1" w:styleId="TableParagraph">
    <w:name w:val="Table Paragraph"/>
    <w:basedOn w:val="a"/>
    <w:autoRedefine/>
    <w:uiPriority w:val="1"/>
    <w:qFormat/>
    <w:pPr>
      <w:autoSpaceDE w:val="0"/>
      <w:autoSpaceDN w:val="0"/>
      <w:adjustRightInd w:val="0"/>
      <w:spacing w:line="560" w:lineRule="exact"/>
      <w:jc w:val="left"/>
    </w:pPr>
    <w:rPr>
      <w:rFonts w:ascii="Times New Roman" w:eastAsia="仿宋_GB2312" w:hAnsi="Times New Roman" w:cs="Times New Roman"/>
      <w:kern w:val="0"/>
      <w:sz w:val="24"/>
      <w:szCs w:val="24"/>
      <w14:ligatures w14:val="none"/>
    </w:rPr>
  </w:style>
  <w:style w:type="character" w:customStyle="1" w:styleId="1Char">
    <w:name w:val="正文1 Char"/>
    <w:link w:val="15"/>
    <w:autoRedefine/>
    <w:qFormat/>
    <w:rPr>
      <w:rFonts w:eastAsia="仿宋_GB2312"/>
      <w:sz w:val="32"/>
      <w:szCs w:val="30"/>
    </w:rPr>
  </w:style>
  <w:style w:type="paragraph" w:customStyle="1" w:styleId="15">
    <w:name w:val="正文1"/>
    <w:link w:val="1Char"/>
    <w:autoRedefine/>
    <w:qFormat/>
    <w:pPr>
      <w:widowControl w:val="0"/>
      <w:spacing w:line="560" w:lineRule="exact"/>
      <w:ind w:firstLineChars="200" w:firstLine="200"/>
    </w:pPr>
    <w:rPr>
      <w:rFonts w:eastAsia="仿宋_GB2312"/>
      <w:kern w:val="2"/>
      <w:sz w:val="32"/>
      <w:szCs w:val="30"/>
      <w14:ligatures w14:val="standardContextual"/>
    </w:rPr>
  </w:style>
  <w:style w:type="paragraph" w:customStyle="1" w:styleId="16">
    <w:name w:val="样式 正文1 + 仿宋"/>
    <w:basedOn w:val="15"/>
    <w:autoRedefine/>
    <w:qFormat/>
    <w:rPr>
      <w:rFonts w:ascii="仿宋" w:eastAsia="仿宋" w:hAnsi="仿宋"/>
    </w:rPr>
  </w:style>
  <w:style w:type="character" w:customStyle="1" w:styleId="GB2312">
    <w:name w:val="样式 (符号) 仿宋_GB2312"/>
    <w:basedOn w:val="a0"/>
    <w:autoRedefine/>
    <w:qFormat/>
    <w:rPr>
      <w:rFonts w:eastAsia="仿宋"/>
    </w:rPr>
  </w:style>
  <w:style w:type="character" w:customStyle="1" w:styleId="aff5">
    <w:name w:val="样式 微软雅黑"/>
    <w:basedOn w:val="a0"/>
    <w:autoRedefine/>
    <w:qFormat/>
    <w:rPr>
      <w:rFonts w:ascii="微软雅黑" w:eastAsia="仿宋" w:hAnsi="微软雅黑"/>
    </w:rPr>
  </w:style>
  <w:style w:type="paragraph" w:customStyle="1" w:styleId="17">
    <w:name w:val="样式 正文1 + 微软雅黑"/>
    <w:basedOn w:val="15"/>
    <w:autoRedefine/>
    <w:qFormat/>
    <w:rPr>
      <w:rFonts w:ascii="微软雅黑" w:eastAsia="仿宋" w:hAnsi="微软雅黑"/>
    </w:rPr>
  </w:style>
  <w:style w:type="paragraph" w:customStyle="1" w:styleId="aff6">
    <w:name w:val="表格"/>
    <w:basedOn w:val="a"/>
    <w:link w:val="Char"/>
    <w:autoRedefine/>
    <w:qFormat/>
    <w:pPr>
      <w:autoSpaceDE w:val="0"/>
      <w:autoSpaceDN w:val="0"/>
      <w:adjustRightInd w:val="0"/>
      <w:snapToGrid w:val="0"/>
      <w:jc w:val="center"/>
    </w:pPr>
    <w:rPr>
      <w:rFonts w:ascii="宋体" w:eastAsia="仿宋" w:hAnsi="Times New Roman" w:cs="宋体"/>
      <w:color w:val="000000"/>
      <w:kern w:val="0"/>
      <w:sz w:val="24"/>
      <w14:ligatures w14:val="none"/>
    </w:rPr>
  </w:style>
  <w:style w:type="character" w:customStyle="1" w:styleId="Char">
    <w:name w:val="表格 Char"/>
    <w:basedOn w:val="a0"/>
    <w:link w:val="aff6"/>
    <w:autoRedefine/>
    <w:qFormat/>
    <w:rPr>
      <w:rFonts w:ascii="宋体" w:eastAsia="仿宋" w:hAnsi="Times New Roman" w:cs="宋体"/>
      <w:color w:val="000000"/>
      <w:kern w:val="0"/>
      <w:sz w:val="24"/>
      <w14:ligatures w14:val="none"/>
    </w:rPr>
  </w:style>
  <w:style w:type="character" w:customStyle="1" w:styleId="af5">
    <w:name w:val="副标题 字符"/>
    <w:basedOn w:val="a0"/>
    <w:link w:val="af4"/>
    <w:autoRedefine/>
    <w:uiPriority w:val="11"/>
    <w:qFormat/>
    <w:rPr>
      <w:rFonts w:ascii="Calibri Light" w:hAnsi="Calibri Light" w:cs="Times New Roman"/>
      <w:b/>
      <w:bCs/>
      <w:kern w:val="28"/>
      <w:sz w:val="32"/>
      <w:szCs w:val="32"/>
    </w:rPr>
  </w:style>
  <w:style w:type="paragraph" w:customStyle="1" w:styleId="aff7">
    <w:name w:val="样式 表格 + 微软雅黑"/>
    <w:basedOn w:val="aff6"/>
    <w:autoRedefine/>
    <w:qFormat/>
    <w:rPr>
      <w:rFonts w:ascii="微软雅黑" w:hAnsi="微软雅黑"/>
    </w:rPr>
  </w:style>
  <w:style w:type="paragraph" w:customStyle="1" w:styleId="18">
    <w:name w:val="修订1"/>
    <w:autoRedefine/>
    <w:hidden/>
    <w:uiPriority w:val="99"/>
    <w:semiHidden/>
    <w:qFormat/>
    <w:rPr>
      <w:rFonts w:eastAsia="仿宋_GB2312"/>
      <w:kern w:val="2"/>
      <w:sz w:val="32"/>
      <w:szCs w:val="22"/>
    </w:rPr>
  </w:style>
  <w:style w:type="character" w:customStyle="1" w:styleId="aff1">
    <w:name w:val="专栏 字符"/>
    <w:basedOn w:val="a0"/>
    <w:link w:val="aff0"/>
    <w:autoRedefine/>
    <w:qFormat/>
    <w:rPr>
      <w:rFonts w:ascii="Times New Roman" w:eastAsia="仿宋_GB2312" w:hAnsi="Times New Roman"/>
      <w:sz w:val="28"/>
      <w14:ligatures w14:val="none"/>
    </w:rPr>
  </w:style>
  <w:style w:type="paragraph" w:customStyle="1" w:styleId="aff8">
    <w:name w:val="正文池州总规"/>
    <w:basedOn w:val="a"/>
    <w:link w:val="aff9"/>
    <w:autoRedefine/>
    <w:qFormat/>
    <w:pPr>
      <w:spacing w:line="360" w:lineRule="auto"/>
      <w:ind w:firstLineChars="200" w:firstLine="640"/>
    </w:pPr>
    <w:rPr>
      <w:rFonts w:ascii="仿宋_GB2312" w:eastAsia="仿宋_GB2312" w:hAnsi="仿宋_GB2312"/>
      <w:sz w:val="32"/>
      <w:szCs w:val="32"/>
      <w14:ligatures w14:val="none"/>
    </w:rPr>
  </w:style>
  <w:style w:type="character" w:customStyle="1" w:styleId="aff9">
    <w:name w:val="正文池州总规 字符"/>
    <w:basedOn w:val="a0"/>
    <w:link w:val="aff8"/>
    <w:autoRedefine/>
    <w:qFormat/>
    <w:rPr>
      <w:rFonts w:ascii="仿宋_GB2312" w:eastAsia="仿宋_GB2312" w:hAnsi="仿宋_GB2312"/>
      <w:sz w:val="32"/>
      <w:szCs w:val="32"/>
      <w14:ligatures w14:val="none"/>
    </w:rPr>
  </w:style>
  <w:style w:type="paragraph" w:customStyle="1" w:styleId="affa">
    <w:name w:val="表格内容"/>
    <w:basedOn w:val="a"/>
    <w:link w:val="affb"/>
    <w:autoRedefine/>
    <w:qFormat/>
    <w:pPr>
      <w:jc w:val="left"/>
    </w:pPr>
    <w:rPr>
      <w:rFonts w:ascii="Times New Roman" w:eastAsia="仿宋_GB2312" w:hAnsi="Times New Roman"/>
      <w14:ligatures w14:val="none"/>
    </w:rPr>
  </w:style>
  <w:style w:type="character" w:customStyle="1" w:styleId="affb">
    <w:name w:val="表格内容 字符"/>
    <w:basedOn w:val="a0"/>
    <w:link w:val="affa"/>
    <w:autoRedefine/>
    <w:qFormat/>
    <w:rPr>
      <w:rFonts w:ascii="Times New Roman" w:eastAsia="仿宋_GB2312" w:hAnsi="Times New Roman"/>
      <w14:ligatures w14:val="none"/>
    </w:rPr>
  </w:style>
  <w:style w:type="character" w:customStyle="1" w:styleId="50">
    <w:name w:val="标题 5 字符"/>
    <w:basedOn w:val="a0"/>
    <w:link w:val="5"/>
    <w:autoRedefine/>
    <w:uiPriority w:val="9"/>
    <w:qFormat/>
    <w:rPr>
      <w:rFonts w:ascii="Calibri" w:eastAsia="宋体" w:hAnsi="Calibri" w:cs="Times New Roman"/>
      <w:b/>
      <w:bCs/>
      <w:kern w:val="2"/>
      <w:sz w:val="28"/>
      <w:szCs w:val="28"/>
    </w:rPr>
  </w:style>
  <w:style w:type="paragraph" w:customStyle="1" w:styleId="111">
    <w:name w:val="修订11"/>
    <w:autoRedefine/>
    <w:hidden/>
    <w:uiPriority w:val="99"/>
    <w:semiHidden/>
    <w:qFormat/>
    <w:rPr>
      <w:kern w:val="2"/>
      <w:sz w:val="21"/>
      <w:szCs w:val="22"/>
    </w:rPr>
  </w:style>
  <w:style w:type="paragraph" w:customStyle="1" w:styleId="affc">
    <w:name w:val="附表头"/>
    <w:basedOn w:val="4"/>
    <w:next w:val="a"/>
    <w:link w:val="affd"/>
    <w:autoRedefine/>
    <w:qFormat/>
  </w:style>
  <w:style w:type="character" w:customStyle="1" w:styleId="affd">
    <w:name w:val="附表头 字符"/>
    <w:basedOn w:val="40"/>
    <w:link w:val="affc"/>
    <w:autoRedefine/>
    <w:qFormat/>
    <w:rPr>
      <w:rFonts w:ascii="Calibri Light" w:eastAsia="宋体" w:hAnsi="Calibri Light" w:cs="Times New Roman"/>
      <w:b/>
      <w:bCs/>
      <w:kern w:val="2"/>
      <w:sz w:val="28"/>
      <w:szCs w:val="28"/>
    </w:rPr>
  </w:style>
  <w:style w:type="paragraph" w:customStyle="1" w:styleId="TOC10">
    <w:name w:val="TOC 标题1"/>
    <w:basedOn w:val="1"/>
    <w:next w:val="a"/>
    <w:autoRedefine/>
    <w:uiPriority w:val="39"/>
    <w:unhideWhenUsed/>
    <w:qFormat/>
    <w:pPr>
      <w:keepNext/>
      <w:keepLines/>
      <w:widowControl/>
      <w:autoSpaceDE/>
      <w:autoSpaceDN/>
      <w:spacing w:before="240" w:line="259" w:lineRule="auto"/>
      <w:ind w:left="0"/>
      <w:jc w:val="left"/>
      <w:outlineLvl w:val="9"/>
    </w:pPr>
    <w:rPr>
      <w:rFonts w:ascii="Calibri Light" w:eastAsia="宋体" w:hAnsi="Calibri Light" w:cs="Times New Roman"/>
      <w:color w:val="2E74B5"/>
      <w:lang w:val="en-US" w:bidi="ar-SA"/>
    </w:rPr>
  </w:style>
  <w:style w:type="paragraph" w:customStyle="1" w:styleId="msonormal0">
    <w:name w:val="msonormal"/>
    <w:basedOn w:val="a"/>
    <w:autoRedefine/>
    <w:qFormat/>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font5">
    <w:name w:val="font5"/>
    <w:basedOn w:val="a"/>
    <w:autoRedefine/>
    <w:qFormat/>
    <w:pPr>
      <w:widowControl/>
      <w:spacing w:before="100" w:beforeAutospacing="1" w:after="100" w:afterAutospacing="1"/>
      <w:jc w:val="left"/>
    </w:pPr>
    <w:rPr>
      <w:rFonts w:ascii="Times New Roman" w:eastAsia="宋体" w:hAnsi="Times New Roman" w:cs="Times New Roman"/>
      <w:color w:val="000000"/>
      <w:kern w:val="0"/>
      <w:szCs w:val="21"/>
      <w14:ligatures w14:val="none"/>
    </w:rPr>
  </w:style>
  <w:style w:type="paragraph" w:customStyle="1" w:styleId="font6">
    <w:name w:val="font6"/>
    <w:basedOn w:val="a"/>
    <w:autoRedefine/>
    <w:qFormat/>
    <w:pPr>
      <w:widowControl/>
      <w:spacing w:before="100" w:beforeAutospacing="1" w:after="100" w:afterAutospacing="1"/>
      <w:jc w:val="left"/>
    </w:pPr>
    <w:rPr>
      <w:rFonts w:ascii="等线" w:eastAsia="等线" w:hAnsi="等线" w:cs="宋体"/>
      <w:kern w:val="0"/>
      <w:sz w:val="18"/>
      <w:szCs w:val="18"/>
      <w14:ligatures w14:val="none"/>
    </w:rPr>
  </w:style>
  <w:style w:type="paragraph" w:customStyle="1" w:styleId="font7">
    <w:name w:val="font7"/>
    <w:basedOn w:val="a"/>
    <w:autoRedefine/>
    <w:qFormat/>
    <w:pPr>
      <w:widowControl/>
      <w:spacing w:before="100" w:beforeAutospacing="1" w:after="100" w:afterAutospacing="1"/>
      <w:jc w:val="left"/>
    </w:pPr>
    <w:rPr>
      <w:rFonts w:ascii="宋体" w:eastAsia="宋体" w:hAnsi="宋体" w:cs="宋体"/>
      <w:color w:val="000000"/>
      <w:kern w:val="0"/>
      <w:szCs w:val="21"/>
      <w14:ligatures w14:val="none"/>
    </w:rPr>
  </w:style>
  <w:style w:type="paragraph" w:customStyle="1" w:styleId="xl65">
    <w:name w:val="xl65"/>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hAnsi="宋体" w:cs="宋体"/>
      <w:kern w:val="0"/>
      <w:szCs w:val="21"/>
      <w14:ligatures w14:val="none"/>
    </w:rPr>
  </w:style>
  <w:style w:type="paragraph" w:customStyle="1" w:styleId="xl66">
    <w:name w:val="xl66"/>
    <w:basedOn w:val="a"/>
    <w:autoRedefine/>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hAnsi="宋体" w:cs="宋体"/>
      <w:kern w:val="0"/>
      <w:szCs w:val="21"/>
      <w14:ligatures w14:val="none"/>
    </w:rPr>
  </w:style>
  <w:style w:type="paragraph" w:customStyle="1" w:styleId="xl67">
    <w:name w:val="xl67"/>
    <w:basedOn w:val="a"/>
    <w:autoRedefine/>
    <w:qFormat/>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宋体" w:hAnsi="Times New Roman" w:cs="Times New Roman"/>
      <w:kern w:val="0"/>
      <w:szCs w:val="21"/>
      <w14:ligatures w14:val="none"/>
    </w:rPr>
  </w:style>
  <w:style w:type="paragraph" w:customStyle="1" w:styleId="xl68">
    <w:name w:val="xl68"/>
    <w:basedOn w:val="a"/>
    <w:autoRedefine/>
    <w:qFormat/>
    <w:pPr>
      <w:widowControl/>
      <w:pBdr>
        <w:bottom w:val="single" w:sz="8" w:space="0" w:color="auto"/>
        <w:right w:val="single" w:sz="8" w:space="0" w:color="auto"/>
      </w:pBdr>
      <w:spacing w:before="100" w:beforeAutospacing="1" w:after="100" w:afterAutospacing="1"/>
      <w:jc w:val="center"/>
    </w:pPr>
    <w:rPr>
      <w:rFonts w:ascii="仿宋_GB2312" w:eastAsia="仿宋_GB2312" w:hAnsi="宋体" w:cs="宋体"/>
      <w:kern w:val="0"/>
      <w:szCs w:val="21"/>
      <w14:ligatures w14:val="none"/>
    </w:rPr>
  </w:style>
  <w:style w:type="paragraph" w:customStyle="1" w:styleId="xl69">
    <w:name w:val="xl69"/>
    <w:basedOn w:val="a"/>
    <w:autoRedefine/>
    <w:qFormat/>
    <w:pPr>
      <w:widowControl/>
      <w:pBdr>
        <w:bottom w:val="single" w:sz="8" w:space="0" w:color="auto"/>
        <w:right w:val="single" w:sz="8" w:space="0" w:color="auto"/>
      </w:pBdr>
      <w:spacing w:before="100" w:beforeAutospacing="1" w:after="100" w:afterAutospacing="1"/>
      <w:jc w:val="center"/>
    </w:pPr>
    <w:rPr>
      <w:rFonts w:ascii="Times New Roman" w:eastAsia="宋体" w:hAnsi="Times New Roman" w:cs="Times New Roman"/>
      <w:kern w:val="0"/>
      <w:szCs w:val="21"/>
      <w14:ligatures w14:val="none"/>
    </w:rPr>
  </w:style>
  <w:style w:type="paragraph" w:customStyle="1" w:styleId="xl70">
    <w:name w:val="xl70"/>
    <w:basedOn w:val="a"/>
    <w:autoRedefine/>
    <w:qFormat/>
    <w:pPr>
      <w:widowControl/>
      <w:pBdr>
        <w:bottom w:val="single" w:sz="8" w:space="0" w:color="auto"/>
        <w:right w:val="single" w:sz="8" w:space="0" w:color="auto"/>
      </w:pBdr>
      <w:spacing w:before="100" w:beforeAutospacing="1" w:after="100" w:afterAutospacing="1"/>
      <w:jc w:val="center"/>
    </w:pPr>
    <w:rPr>
      <w:rFonts w:ascii="宋体" w:eastAsia="宋体" w:hAnsi="宋体" w:cs="宋体"/>
      <w:kern w:val="0"/>
      <w:szCs w:val="21"/>
      <w14:ligatures w14:val="none"/>
    </w:rPr>
  </w:style>
  <w:style w:type="paragraph" w:customStyle="1" w:styleId="Bodytext1">
    <w:name w:val="Body text|1"/>
    <w:basedOn w:val="a"/>
    <w:autoRedefine/>
    <w:qFormat/>
    <w:pPr>
      <w:spacing w:line="408" w:lineRule="auto"/>
      <w:ind w:firstLine="400"/>
    </w:pPr>
    <w:rPr>
      <w:rFonts w:ascii="宋体" w:eastAsia="宋体" w:hAnsi="宋体" w:cs="宋体"/>
      <w:sz w:val="30"/>
      <w:szCs w:val="30"/>
      <w:lang w:val="zh-TW" w:eastAsia="zh-TW" w:bidi="zh-TW"/>
      <w14:ligatures w14:val="none"/>
    </w:rPr>
  </w:style>
  <w:style w:type="paragraph" w:customStyle="1" w:styleId="xl71">
    <w:name w:val="xl7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14:ligatures w14:val="none"/>
    </w:rPr>
  </w:style>
  <w:style w:type="paragraph" w:customStyle="1" w:styleId="xl72">
    <w:name w:val="xl7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0"/>
      <w:szCs w:val="20"/>
      <w14:ligatures w14:val="none"/>
    </w:rPr>
  </w:style>
  <w:style w:type="character" w:customStyle="1" w:styleId="font01">
    <w:name w:val="font01"/>
    <w:basedOn w:val="a0"/>
    <w:autoRedefine/>
    <w:qFormat/>
    <w:rPr>
      <w:rFonts w:ascii="仿宋" w:eastAsia="仿宋" w:hAnsi="仿宋" w:cs="仿宋"/>
      <w:color w:val="000000"/>
      <w:sz w:val="20"/>
      <w:szCs w:val="20"/>
      <w:u w:val="none"/>
    </w:rPr>
  </w:style>
  <w:style w:type="character" w:customStyle="1" w:styleId="font21">
    <w:name w:val="font21"/>
    <w:basedOn w:val="a0"/>
    <w:autoRedefine/>
    <w:qFormat/>
    <w:rPr>
      <w:rFonts w:ascii="仿宋_GB2312" w:eastAsia="仿宋_GB2312" w:cs="仿宋_GB2312"/>
      <w:color w:val="000000"/>
      <w:sz w:val="22"/>
      <w:szCs w:val="22"/>
      <w:u w:val="none"/>
    </w:rPr>
  </w:style>
  <w:style w:type="paragraph" w:customStyle="1" w:styleId="affe">
    <w:name w:val="表头"/>
    <w:basedOn w:val="a"/>
    <w:autoRedefine/>
    <w:qFormat/>
    <w:pPr>
      <w:widowControl/>
      <w:spacing w:line="360" w:lineRule="auto"/>
      <w:jc w:val="center"/>
    </w:pPr>
    <w:rPr>
      <w:rFonts w:eastAsia="黑体"/>
      <w:color w:val="000000"/>
      <w:kern w:val="0"/>
      <w:sz w:val="24"/>
      <w:szCs w:val="20"/>
      <w14:ligatures w14:val="none"/>
    </w:rPr>
  </w:style>
  <w:style w:type="paragraph" w:customStyle="1" w:styleId="xl63">
    <w:name w:val="xl63"/>
    <w:basedOn w:val="a"/>
    <w:autoRedefine/>
    <w:qFormat/>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xl64">
    <w:name w:val="xl6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14:ligatures w14:val="none"/>
    </w:rPr>
  </w:style>
  <w:style w:type="paragraph" w:customStyle="1" w:styleId="xl73">
    <w:name w:val="xl7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color w:val="000000"/>
      <w:kern w:val="0"/>
      <w:sz w:val="20"/>
      <w:szCs w:val="20"/>
      <w14:ligatures w14:val="none"/>
    </w:rPr>
  </w:style>
  <w:style w:type="paragraph" w:customStyle="1" w:styleId="xl74">
    <w:name w:val="xl7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14:ligatures w14:val="none"/>
    </w:rPr>
  </w:style>
  <w:style w:type="paragraph" w:customStyle="1" w:styleId="xl75">
    <w:name w:val="xl7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0"/>
      <w:szCs w:val="20"/>
      <w14:ligatures w14:val="none"/>
    </w:rPr>
  </w:style>
  <w:style w:type="paragraph" w:customStyle="1" w:styleId="xl76">
    <w:name w:val="xl7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14:ligatures w14:val="none"/>
    </w:rPr>
  </w:style>
  <w:style w:type="paragraph" w:customStyle="1" w:styleId="xl77">
    <w:name w:val="xl7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14:ligatures w14:val="none"/>
    </w:rPr>
  </w:style>
  <w:style w:type="paragraph" w:customStyle="1" w:styleId="xl78">
    <w:name w:val="xl78"/>
    <w:basedOn w:val="a"/>
    <w:autoRedefine/>
    <w:qFormat/>
    <w:pPr>
      <w:widowControl/>
      <w:spacing w:before="100" w:beforeAutospacing="1" w:after="100" w:afterAutospacing="1"/>
      <w:jc w:val="center"/>
      <w:textAlignment w:val="center"/>
    </w:pPr>
    <w:rPr>
      <w:rFonts w:ascii="宋体" w:eastAsia="宋体" w:hAnsi="宋体" w:cs="宋体"/>
      <w:b/>
      <w:bCs/>
      <w:kern w:val="0"/>
      <w:sz w:val="20"/>
      <w:szCs w:val="20"/>
      <w14:ligatures w14:val="none"/>
    </w:rPr>
  </w:style>
  <w:style w:type="paragraph" w:customStyle="1" w:styleId="xl79">
    <w:name w:val="xl79"/>
    <w:basedOn w:val="a"/>
    <w:autoRedefine/>
    <w:qFormat/>
    <w:pPr>
      <w:widowControl/>
      <w:spacing w:before="100" w:beforeAutospacing="1" w:after="100" w:afterAutospacing="1"/>
      <w:jc w:val="center"/>
    </w:pPr>
    <w:rPr>
      <w:rFonts w:ascii="宋体" w:eastAsia="宋体" w:hAnsi="宋体" w:cs="宋体"/>
      <w:kern w:val="0"/>
      <w:sz w:val="24"/>
      <w:szCs w:val="24"/>
      <w14:ligatures w14:val="none"/>
    </w:rPr>
  </w:style>
  <w:style w:type="paragraph" w:customStyle="1" w:styleId="xl80">
    <w:name w:val="xl80"/>
    <w:basedOn w:val="a"/>
    <w:autoRedefine/>
    <w:qFormat/>
    <w:pPr>
      <w:widowControl/>
      <w:spacing w:before="100" w:beforeAutospacing="1" w:after="100" w:afterAutospacing="1"/>
      <w:jc w:val="center"/>
    </w:pPr>
    <w:rPr>
      <w:rFonts w:ascii="宋体" w:eastAsia="宋体" w:hAnsi="宋体" w:cs="宋体"/>
      <w:kern w:val="0"/>
      <w:sz w:val="24"/>
      <w:szCs w:val="24"/>
      <w14:ligatures w14:val="none"/>
    </w:rPr>
  </w:style>
  <w:style w:type="paragraph" w:customStyle="1" w:styleId="xl81">
    <w:name w:val="xl81"/>
    <w:basedOn w:val="a"/>
    <w:autoRedefine/>
    <w:qFormat/>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xl82">
    <w:name w:val="xl8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14:ligatures w14:val="none"/>
    </w:rPr>
  </w:style>
  <w:style w:type="paragraph" w:customStyle="1" w:styleId="xl83">
    <w:name w:val="xl8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14:ligatures w14:val="none"/>
    </w:rPr>
  </w:style>
  <w:style w:type="paragraph" w:customStyle="1" w:styleId="xl84">
    <w:name w:val="xl8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0"/>
      <w:szCs w:val="20"/>
      <w14:ligatures w14:val="none"/>
    </w:rPr>
  </w:style>
  <w:style w:type="paragraph" w:customStyle="1" w:styleId="23">
    <w:name w:val="修订2"/>
    <w:autoRedefine/>
    <w:hidden/>
    <w:uiPriority w:val="99"/>
    <w:semiHidden/>
    <w:qFormat/>
    <w:rPr>
      <w:rFonts w:eastAsia="仿宋_GB2312"/>
      <w:kern w:val="2"/>
      <w:sz w:val="32"/>
      <w:szCs w:val="22"/>
    </w:rPr>
  </w:style>
  <w:style w:type="paragraph" w:customStyle="1" w:styleId="font8">
    <w:name w:val="font8"/>
    <w:basedOn w:val="a"/>
    <w:autoRedefine/>
    <w:qFormat/>
    <w:pPr>
      <w:widowControl/>
      <w:spacing w:before="100" w:beforeAutospacing="1" w:after="100" w:afterAutospacing="1"/>
      <w:jc w:val="left"/>
    </w:pPr>
    <w:rPr>
      <w:rFonts w:ascii="宋体" w:eastAsia="宋体" w:hAnsi="宋体" w:cs="宋体"/>
      <w:color w:val="000000"/>
      <w:kern w:val="0"/>
      <w:sz w:val="18"/>
      <w:szCs w:val="18"/>
      <w14:ligatures w14:val="none"/>
    </w:rPr>
  </w:style>
  <w:style w:type="paragraph" w:customStyle="1" w:styleId="xl85">
    <w:name w:val="xl8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14:ligatures w14:val="none"/>
    </w:rPr>
  </w:style>
  <w:style w:type="paragraph" w:customStyle="1" w:styleId="xl86">
    <w:name w:val="xl8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color w:val="000000"/>
      <w:kern w:val="0"/>
      <w:sz w:val="24"/>
      <w:szCs w:val="24"/>
      <w14:ligatures w14:val="none"/>
    </w:rPr>
  </w:style>
  <w:style w:type="paragraph" w:customStyle="1" w:styleId="xl87">
    <w:name w:val="xl8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4"/>
      <w:szCs w:val="24"/>
      <w14:ligatures w14:val="none"/>
    </w:rPr>
  </w:style>
  <w:style w:type="paragraph" w:customStyle="1" w:styleId="xl88">
    <w:name w:val="xl8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14:ligatures w14:val="none"/>
    </w:rPr>
  </w:style>
  <w:style w:type="paragraph" w:customStyle="1" w:styleId="xl89">
    <w:name w:val="xl8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14:ligatures w14:val="none"/>
    </w:rPr>
  </w:style>
  <w:style w:type="paragraph" w:customStyle="1" w:styleId="xl90">
    <w:name w:val="xl9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16"/>
      <w:szCs w:val="16"/>
      <w14:ligatures w14:val="none"/>
    </w:rPr>
  </w:style>
  <w:style w:type="paragraph" w:customStyle="1" w:styleId="xl91">
    <w:name w:val="xl9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6"/>
      <w:szCs w:val="16"/>
      <w14:ligatures w14:val="none"/>
    </w:rPr>
  </w:style>
  <w:style w:type="paragraph" w:customStyle="1" w:styleId="xl92">
    <w:name w:val="xl9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18"/>
      <w:szCs w:val="18"/>
      <w14:ligatures w14:val="none"/>
    </w:rPr>
  </w:style>
  <w:style w:type="paragraph" w:customStyle="1" w:styleId="xl93">
    <w:name w:val="xl9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14:ligatures w14:val="none"/>
    </w:rPr>
  </w:style>
  <w:style w:type="paragraph" w:customStyle="1" w:styleId="xl94">
    <w:name w:val="xl9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14:ligatures w14:val="none"/>
    </w:rPr>
  </w:style>
  <w:style w:type="paragraph" w:customStyle="1" w:styleId="xl95">
    <w:name w:val="xl9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7"/>
      <w:szCs w:val="27"/>
      <w14:ligatures w14:val="none"/>
    </w:rPr>
  </w:style>
  <w:style w:type="paragraph" w:customStyle="1" w:styleId="xl96">
    <w:name w:val="xl9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14:ligatures w14:val="none"/>
    </w:rPr>
  </w:style>
  <w:style w:type="paragraph" w:customStyle="1" w:styleId="xl97">
    <w:name w:val="xl9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kern w:val="0"/>
      <w:sz w:val="24"/>
      <w:szCs w:val="24"/>
      <w14:ligatures w14:val="none"/>
    </w:rPr>
  </w:style>
  <w:style w:type="paragraph" w:customStyle="1" w:styleId="xl98">
    <w:name w:val="xl9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14:ligatures w14:val="none"/>
    </w:rPr>
  </w:style>
  <w:style w:type="paragraph" w:customStyle="1" w:styleId="xl99">
    <w:name w:val="xl9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4"/>
      <w:szCs w:val="24"/>
      <w14:ligatures w14:val="none"/>
    </w:rPr>
  </w:style>
  <w:style w:type="paragraph" w:customStyle="1" w:styleId="xl100">
    <w:name w:val="xl10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14:ligatures w14:val="none"/>
    </w:rPr>
  </w:style>
  <w:style w:type="paragraph" w:customStyle="1" w:styleId="xl101">
    <w:name w:val="xl10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宋体" w:hAnsi="Times New Roman" w:cs="Times New Roman"/>
      <w:kern w:val="0"/>
      <w:sz w:val="24"/>
      <w:szCs w:val="24"/>
      <w14:ligatures w14:val="none"/>
    </w:rPr>
  </w:style>
  <w:style w:type="paragraph" w:customStyle="1" w:styleId="xl102">
    <w:name w:val="xl10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color w:val="000000"/>
      <w:kern w:val="0"/>
      <w:sz w:val="16"/>
      <w:szCs w:val="16"/>
      <w14:ligatures w14:val="none"/>
    </w:rPr>
  </w:style>
  <w:style w:type="paragraph" w:customStyle="1" w:styleId="xl103">
    <w:name w:val="xl10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Cs w:val="21"/>
      <w14:ligatures w14:val="none"/>
    </w:rPr>
  </w:style>
  <w:style w:type="paragraph" w:customStyle="1" w:styleId="xl104">
    <w:name w:val="xl10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Cs w:val="21"/>
      <w14:ligatures w14:val="none"/>
    </w:rPr>
  </w:style>
  <w:style w:type="paragraph" w:customStyle="1" w:styleId="xl105">
    <w:name w:val="xl10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14:ligatures w14:val="none"/>
    </w:rPr>
  </w:style>
  <w:style w:type="paragraph" w:customStyle="1" w:styleId="xl106">
    <w:name w:val="xl10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333333"/>
      <w:kern w:val="0"/>
      <w:sz w:val="18"/>
      <w:szCs w:val="18"/>
      <w14:ligatures w14:val="none"/>
    </w:rPr>
  </w:style>
  <w:style w:type="paragraph" w:customStyle="1" w:styleId="font9">
    <w:name w:val="font9"/>
    <w:basedOn w:val="a"/>
    <w:autoRedefine/>
    <w:qFormat/>
    <w:pPr>
      <w:widowControl/>
      <w:spacing w:before="100" w:beforeAutospacing="1" w:after="100" w:afterAutospacing="1"/>
      <w:jc w:val="left"/>
    </w:pPr>
    <w:rPr>
      <w:rFonts w:ascii="微软雅黑" w:eastAsia="微软雅黑" w:hAnsi="微软雅黑" w:cs="宋体"/>
      <w:color w:val="333333"/>
      <w:kern w:val="0"/>
      <w:sz w:val="20"/>
      <w:szCs w:val="20"/>
      <w14:ligatures w14:val="none"/>
    </w:rPr>
  </w:style>
  <w:style w:type="paragraph" w:customStyle="1" w:styleId="font10">
    <w:name w:val="font10"/>
    <w:basedOn w:val="a"/>
    <w:autoRedefine/>
    <w:qFormat/>
    <w:pPr>
      <w:widowControl/>
      <w:spacing w:before="100" w:beforeAutospacing="1" w:after="100" w:afterAutospacing="1"/>
      <w:jc w:val="left"/>
    </w:pPr>
    <w:rPr>
      <w:rFonts w:ascii="等线" w:eastAsia="等线" w:hAnsi="等线" w:cs="宋体"/>
      <w:kern w:val="0"/>
      <w:sz w:val="18"/>
      <w:szCs w:val="18"/>
      <w14:ligatures w14:val="none"/>
    </w:rPr>
  </w:style>
  <w:style w:type="paragraph" w:customStyle="1" w:styleId="211">
    <w:name w:val="修订21"/>
    <w:autoRedefine/>
    <w:hidden/>
    <w:uiPriority w:val="99"/>
    <w:unhideWhenUsed/>
    <w:qFormat/>
    <w:rPr>
      <w:rFonts w:ascii="Calibri" w:eastAsia="宋体" w:hAnsi="Calibri" w:cs="Times New Roman"/>
      <w:kern w:val="2"/>
      <w:sz w:val="21"/>
      <w:szCs w:val="21"/>
    </w:rPr>
  </w:style>
  <w:style w:type="paragraph" w:customStyle="1" w:styleId="33">
    <w:name w:val="修订3"/>
    <w:autoRedefine/>
    <w:hidden/>
    <w:uiPriority w:val="99"/>
    <w:unhideWhenUsed/>
    <w:qFormat/>
    <w:rPr>
      <w:rFonts w:eastAsia="仿宋_GB2312"/>
      <w:kern w:val="2"/>
      <w:sz w:val="32"/>
      <w:szCs w:val="22"/>
    </w:rPr>
  </w:style>
  <w:style w:type="paragraph" w:customStyle="1" w:styleId="TOC20">
    <w:name w:val="TOC 标题2"/>
    <w:basedOn w:val="1"/>
    <w:next w:val="a"/>
    <w:autoRedefine/>
    <w:uiPriority w:val="39"/>
    <w:unhideWhenUsed/>
    <w:qFormat/>
    <w:pPr>
      <w:keepNext/>
      <w:keepLines/>
      <w:widowControl/>
      <w:autoSpaceDE/>
      <w:autoSpaceDN/>
      <w:spacing w:before="240" w:line="259" w:lineRule="auto"/>
      <w:ind w:left="0"/>
      <w:jc w:val="left"/>
      <w:outlineLvl w:val="9"/>
    </w:pPr>
    <w:rPr>
      <w:rFonts w:ascii="Calibri Light" w:eastAsia="宋体" w:hAnsi="Calibri Light" w:cs="Times New Roman"/>
      <w:color w:val="2E74B5"/>
      <w:lang w:val="en-US" w:bidi="ar-SA"/>
    </w:rPr>
  </w:style>
  <w:style w:type="paragraph" w:customStyle="1" w:styleId="44">
    <w:name w:val="修订4"/>
    <w:next w:val="52"/>
    <w:hidden/>
    <w:uiPriority w:val="99"/>
    <w:unhideWhenUsed/>
    <w:rPr>
      <w:rFonts w:eastAsia="仿宋_GB2312"/>
      <w:kern w:val="2"/>
      <w:sz w:val="32"/>
      <w:szCs w:val="22"/>
    </w:rPr>
  </w:style>
  <w:style w:type="paragraph" w:customStyle="1" w:styleId="52">
    <w:name w:val="修订5"/>
    <w:hidden/>
    <w:uiPriority w:val="99"/>
    <w:semiHidden/>
    <w:rPr>
      <w:kern w:val="2"/>
      <w:sz w:val="21"/>
      <w:szCs w:val="22"/>
      <w14:ligatures w14:val="standardContextual"/>
    </w:rPr>
  </w:style>
  <w:style w:type="character" w:customStyle="1" w:styleId="212">
    <w:name w:val="标题 2 字符1"/>
    <w:basedOn w:val="a0"/>
    <w:uiPriority w:val="9"/>
    <w:semiHidden/>
    <w:rPr>
      <w:rFonts w:asciiTheme="majorHAnsi" w:eastAsiaTheme="majorEastAsia" w:hAnsiTheme="majorHAnsi" w:cstheme="majorBidi"/>
      <w:b/>
      <w:bCs/>
      <w:sz w:val="32"/>
      <w:szCs w:val="32"/>
    </w:rPr>
  </w:style>
  <w:style w:type="character" w:customStyle="1" w:styleId="410">
    <w:name w:val="标题 4 字符1"/>
    <w:basedOn w:val="a0"/>
    <w:uiPriority w:val="9"/>
    <w:semiHidden/>
    <w:rPr>
      <w:rFonts w:asciiTheme="majorHAnsi" w:eastAsiaTheme="majorEastAsia" w:hAnsiTheme="majorHAnsi" w:cstheme="majorBidi"/>
      <w:b/>
      <w:bCs/>
      <w:sz w:val="28"/>
      <w:szCs w:val="28"/>
    </w:rPr>
  </w:style>
  <w:style w:type="character" w:customStyle="1" w:styleId="19">
    <w:name w:val="副标题 字符1"/>
    <w:basedOn w:val="a0"/>
    <w:uiPriority w:val="11"/>
    <w:rPr>
      <w:b/>
      <w:bCs/>
      <w:kern w:val="28"/>
      <w:sz w:val="32"/>
      <w:szCs w:val="32"/>
    </w:rPr>
  </w:style>
  <w:style w:type="character" w:customStyle="1" w:styleId="510">
    <w:name w:val="标题 5 字符1"/>
    <w:basedOn w:val="a0"/>
    <w:uiPriority w:val="9"/>
    <w:semiHidden/>
    <w:rPr>
      <w:b/>
      <w:bCs/>
      <w:sz w:val="28"/>
      <w:szCs w:val="28"/>
    </w:rPr>
  </w:style>
  <w:style w:type="paragraph" w:styleId="TOC">
    <w:name w:val="TOC Heading"/>
    <w:basedOn w:val="1"/>
    <w:next w:val="a"/>
    <w:uiPriority w:val="39"/>
    <w:unhideWhenUsed/>
    <w:qFormat/>
    <w:rsid w:val="00406728"/>
    <w:pPr>
      <w:keepNext/>
      <w:keepLines/>
      <w:widowControl/>
      <w:autoSpaceDE/>
      <w:autoSpaceDN/>
      <w:spacing w:before="240" w:line="259" w:lineRule="auto"/>
      <w:ind w:left="0"/>
      <w:jc w:val="left"/>
      <w:outlineLvl w:val="9"/>
    </w:pPr>
    <w:rPr>
      <w:rFonts w:asciiTheme="majorHAnsi" w:eastAsiaTheme="majorEastAsia" w:hAnsiTheme="majorHAnsi" w:cstheme="majorBidi"/>
      <w:color w:val="2F5496" w:themeColor="accent1" w:themeShade="BF"/>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710819">
      <w:bodyDiv w:val="1"/>
      <w:marLeft w:val="0"/>
      <w:marRight w:val="0"/>
      <w:marTop w:val="0"/>
      <w:marBottom w:val="0"/>
      <w:divBdr>
        <w:top w:val="none" w:sz="0" w:space="0" w:color="auto"/>
        <w:left w:val="none" w:sz="0" w:space="0" w:color="auto"/>
        <w:bottom w:val="none" w:sz="0" w:space="0" w:color="auto"/>
        <w:right w:val="none" w:sz="0" w:space="0" w:color="auto"/>
      </w:divBdr>
    </w:div>
    <w:div w:id="311755551">
      <w:bodyDiv w:val="1"/>
      <w:marLeft w:val="0"/>
      <w:marRight w:val="0"/>
      <w:marTop w:val="0"/>
      <w:marBottom w:val="0"/>
      <w:divBdr>
        <w:top w:val="none" w:sz="0" w:space="0" w:color="auto"/>
        <w:left w:val="none" w:sz="0" w:space="0" w:color="auto"/>
        <w:bottom w:val="none" w:sz="0" w:space="0" w:color="auto"/>
        <w:right w:val="none" w:sz="0" w:space="0" w:color="auto"/>
      </w:divBdr>
    </w:div>
    <w:div w:id="378482579">
      <w:bodyDiv w:val="1"/>
      <w:marLeft w:val="0"/>
      <w:marRight w:val="0"/>
      <w:marTop w:val="0"/>
      <w:marBottom w:val="0"/>
      <w:divBdr>
        <w:top w:val="none" w:sz="0" w:space="0" w:color="auto"/>
        <w:left w:val="none" w:sz="0" w:space="0" w:color="auto"/>
        <w:bottom w:val="none" w:sz="0" w:space="0" w:color="auto"/>
        <w:right w:val="none" w:sz="0" w:space="0" w:color="auto"/>
      </w:divBdr>
    </w:div>
    <w:div w:id="441993580">
      <w:bodyDiv w:val="1"/>
      <w:marLeft w:val="0"/>
      <w:marRight w:val="0"/>
      <w:marTop w:val="0"/>
      <w:marBottom w:val="0"/>
      <w:divBdr>
        <w:top w:val="none" w:sz="0" w:space="0" w:color="auto"/>
        <w:left w:val="none" w:sz="0" w:space="0" w:color="auto"/>
        <w:bottom w:val="none" w:sz="0" w:space="0" w:color="auto"/>
        <w:right w:val="none" w:sz="0" w:space="0" w:color="auto"/>
      </w:divBdr>
    </w:div>
    <w:div w:id="590554879">
      <w:bodyDiv w:val="1"/>
      <w:marLeft w:val="0"/>
      <w:marRight w:val="0"/>
      <w:marTop w:val="0"/>
      <w:marBottom w:val="0"/>
      <w:divBdr>
        <w:top w:val="none" w:sz="0" w:space="0" w:color="auto"/>
        <w:left w:val="none" w:sz="0" w:space="0" w:color="auto"/>
        <w:bottom w:val="none" w:sz="0" w:space="0" w:color="auto"/>
        <w:right w:val="none" w:sz="0" w:space="0" w:color="auto"/>
      </w:divBdr>
    </w:div>
    <w:div w:id="985668259">
      <w:bodyDiv w:val="1"/>
      <w:marLeft w:val="0"/>
      <w:marRight w:val="0"/>
      <w:marTop w:val="0"/>
      <w:marBottom w:val="0"/>
      <w:divBdr>
        <w:top w:val="none" w:sz="0" w:space="0" w:color="auto"/>
        <w:left w:val="none" w:sz="0" w:space="0" w:color="auto"/>
        <w:bottom w:val="none" w:sz="0" w:space="0" w:color="auto"/>
        <w:right w:val="none" w:sz="0" w:space="0" w:color="auto"/>
      </w:divBdr>
    </w:div>
    <w:div w:id="1551917427">
      <w:bodyDiv w:val="1"/>
      <w:marLeft w:val="0"/>
      <w:marRight w:val="0"/>
      <w:marTop w:val="0"/>
      <w:marBottom w:val="0"/>
      <w:divBdr>
        <w:top w:val="none" w:sz="0" w:space="0" w:color="auto"/>
        <w:left w:val="none" w:sz="0" w:space="0" w:color="auto"/>
        <w:bottom w:val="none" w:sz="0" w:space="0" w:color="auto"/>
        <w:right w:val="none" w:sz="0" w:space="0" w:color="auto"/>
      </w:divBdr>
    </w:div>
    <w:div w:id="1810904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B4BF4-BDCD-4749-8CAA-DC170F0A2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50</Pages>
  <Words>3177</Words>
  <Characters>18110</Characters>
  <Application>Microsoft Office Word</Application>
  <DocSecurity>0</DocSecurity>
  <Lines>150</Lines>
  <Paragraphs>42</Paragraphs>
  <ScaleCrop>false</ScaleCrop>
  <Company/>
  <LinksUpToDate>false</LinksUpToDate>
  <CharactersWithSpaces>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 Lee</dc:creator>
  <cp:lastModifiedBy>Sen Lee</cp:lastModifiedBy>
  <cp:revision>59</cp:revision>
  <cp:lastPrinted>2024-09-11T02:52:00Z</cp:lastPrinted>
  <dcterms:created xsi:type="dcterms:W3CDTF">2024-06-04T01:39:00Z</dcterms:created>
  <dcterms:modified xsi:type="dcterms:W3CDTF">2024-12-10T08:49:00Z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4D04485A89DB4B01B02DA0A0E579C3AE_12</vt:lpwstr>
  </property>
</Properties>
</file>