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95A50D">
      <w:pPr>
        <w:pStyle w:val="3"/>
        <w:pageBreakBefore w:val="0"/>
        <w:widowControl w:val="0"/>
        <w:kinsoku/>
        <w:wordWrap/>
        <w:overflowPunct/>
        <w:topLinePunct w:val="0"/>
        <w:autoSpaceDE/>
        <w:autoSpaceDN/>
        <w:bidi w:val="0"/>
        <w:spacing w:beforeLines="0" w:afterLines="0" w:line="560" w:lineRule="exact"/>
        <w:textAlignment w:val="auto"/>
        <w:rPr>
          <w:rFonts w:hint="eastAsia" w:ascii="方正小标宋简体" w:hAnsi="方正小标宋简体" w:eastAsia="方正小标宋简体" w:cs="方正小标宋简体"/>
        </w:rPr>
      </w:pPr>
      <w:r>
        <w:rPr>
          <w:rFonts w:hint="eastAsia" w:ascii="方正小标宋简体" w:hAnsi="方正小标宋简体" w:eastAsia="方正小标宋简体" w:cs="方正小标宋简体"/>
        </w:rPr>
        <w:t>【部门解读】关于</w:t>
      </w:r>
      <w:r>
        <w:rPr>
          <w:rFonts w:hint="eastAsia" w:ascii="方正小标宋简体" w:hAnsi="方正小标宋简体" w:eastAsia="方正小标宋简体" w:cs="方正小标宋简体"/>
          <w:lang w:val="en-US" w:eastAsia="zh-CN"/>
        </w:rPr>
        <w:t>东至县</w:t>
      </w:r>
      <w:r>
        <w:rPr>
          <w:rFonts w:hint="eastAsia" w:ascii="方正小标宋简体" w:hAnsi="方正小标宋简体" w:eastAsia="方正小标宋简体" w:cs="方正小标宋简体"/>
        </w:rPr>
        <w:t>2022年国民经济</w:t>
      </w:r>
    </w:p>
    <w:p w14:paraId="78FBD89A">
      <w:pPr>
        <w:pStyle w:val="3"/>
        <w:pageBreakBefore w:val="0"/>
        <w:widowControl w:val="0"/>
        <w:kinsoku/>
        <w:wordWrap/>
        <w:overflowPunct/>
        <w:topLinePunct w:val="0"/>
        <w:autoSpaceDE/>
        <w:autoSpaceDN/>
        <w:bidi w:val="0"/>
        <w:spacing w:beforeLines="0" w:afterLines="0" w:line="560" w:lineRule="exact"/>
        <w:textAlignment w:val="auto"/>
        <w:rPr>
          <w:rFonts w:hint="eastAsia" w:ascii="方正小标宋简体" w:hAnsi="方正小标宋简体" w:eastAsia="方正小标宋简体" w:cs="方正小标宋简体"/>
        </w:rPr>
      </w:pPr>
      <w:r>
        <w:rPr>
          <w:rFonts w:hint="eastAsia" w:ascii="方正小标宋简体" w:hAnsi="方正小标宋简体" w:eastAsia="方正小标宋简体" w:cs="方正小标宋简体"/>
        </w:rPr>
        <w:t>和社会发展计划执行情况与2023年</w:t>
      </w:r>
    </w:p>
    <w:p w14:paraId="1596AF23">
      <w:pPr>
        <w:pStyle w:val="3"/>
        <w:pageBreakBefore w:val="0"/>
        <w:widowControl w:val="0"/>
        <w:kinsoku/>
        <w:wordWrap/>
        <w:overflowPunct/>
        <w:topLinePunct w:val="0"/>
        <w:autoSpaceDE/>
        <w:autoSpaceDN/>
        <w:bidi w:val="0"/>
        <w:spacing w:beforeLines="0" w:afterLines="0" w:line="560" w:lineRule="exact"/>
        <w:textAlignment w:val="auto"/>
        <w:rPr>
          <w:rFonts w:hint="eastAsia" w:ascii="方正小标宋简体" w:hAnsi="方正小标宋简体" w:eastAsia="方正小标宋简体" w:cs="方正小标宋简体"/>
        </w:rPr>
      </w:pPr>
      <w:r>
        <w:rPr>
          <w:rFonts w:hint="eastAsia" w:ascii="方正小标宋简体" w:hAnsi="方正小标宋简体" w:eastAsia="方正小标宋简体" w:cs="方正小标宋简体"/>
        </w:rPr>
        <w:t>计划草案的解读</w:t>
      </w:r>
      <w:bookmarkStart w:id="0" w:name="_GoBack"/>
      <w:bookmarkEnd w:id="0"/>
    </w:p>
    <w:p w14:paraId="123388EE">
      <w:pPr>
        <w:pageBreakBefore w:val="0"/>
        <w:widowControl w:val="0"/>
        <w:kinsoku/>
        <w:wordWrap/>
        <w:overflowPunct/>
        <w:topLinePunct w:val="0"/>
        <w:autoSpaceDE/>
        <w:autoSpaceDN/>
        <w:bidi w:val="0"/>
        <w:spacing w:line="560" w:lineRule="exact"/>
        <w:textAlignment w:val="auto"/>
        <w:rPr>
          <w:rFonts w:hint="eastAsia" w:ascii="仿宋_GB2312" w:hAnsi="仿宋_GB2312" w:eastAsia="仿宋_GB2312" w:cs="仿宋_GB2312"/>
        </w:rPr>
      </w:pPr>
    </w:p>
    <w:p w14:paraId="0F96437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lang w:val="en-US" w:eastAsia="zh-CN"/>
        </w:rPr>
      </w:pPr>
      <w:r>
        <w:rPr>
          <w:rFonts w:hint="eastAsia" w:ascii="黑体" w:hAnsi="黑体" w:eastAsia="黑体" w:cs="黑体"/>
          <w:lang w:val="en-US" w:eastAsia="zh-CN"/>
        </w:rPr>
        <w:t>一、制定背景和制定依据</w:t>
      </w:r>
    </w:p>
    <w:p w14:paraId="216791D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2023年是全面贯彻落实党的二十大精神的开局之年，是实施“十四五”规划承上启下的重要之年</w:t>
      </w: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做好2023年经济工作至关重要</w:t>
      </w:r>
      <w:r>
        <w:rPr>
          <w:rFonts w:hint="eastAsia" w:ascii="仿宋_GB2312" w:hAnsi="仿宋_GB2312" w:eastAsia="仿宋_GB2312" w:cs="仿宋_GB2312"/>
          <w:lang w:eastAsia="zh-CN"/>
        </w:rPr>
        <w:t>。</w:t>
      </w:r>
      <w:r>
        <w:rPr>
          <w:rFonts w:hint="eastAsia" w:ascii="仿宋_GB2312" w:hAnsi="仿宋_GB2312" w:eastAsia="仿宋_GB2312" w:cs="仿宋_GB2312"/>
        </w:rPr>
        <w:t>为全面落实中央和省、市重大决策部署，保障“十四五”规划推进实施，系统谋划2023年度全县经济社会发展工作，明确全年主要发展指标预期，编制实施了《</w:t>
      </w:r>
      <w:r>
        <w:rPr>
          <w:rFonts w:hint="eastAsia" w:ascii="仿宋_GB2312" w:hAnsi="仿宋_GB2312" w:eastAsia="仿宋_GB2312" w:cs="仿宋_GB2312"/>
          <w:lang w:val="en-US" w:eastAsia="zh-CN"/>
        </w:rPr>
        <w:t>东至</w:t>
      </w:r>
      <w:r>
        <w:rPr>
          <w:rFonts w:hint="eastAsia" w:ascii="仿宋_GB2312" w:hAnsi="仿宋_GB2312" w:eastAsia="仿宋_GB2312" w:cs="仿宋_GB2312"/>
        </w:rPr>
        <w:t>县2022年国民经济和社会发展计划执行情况与2023年发展计划报告》。</w:t>
      </w:r>
    </w:p>
    <w:p w14:paraId="7AD93A0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lang w:val="en-US" w:eastAsia="zh-CN"/>
        </w:rPr>
      </w:pPr>
      <w:r>
        <w:rPr>
          <w:rFonts w:hint="eastAsia" w:ascii="黑体" w:hAnsi="黑体" w:eastAsia="黑体" w:cs="黑体"/>
          <w:lang w:val="en-US" w:eastAsia="zh-CN"/>
        </w:rPr>
        <w:t>二、制定意义和总体考虑</w:t>
      </w:r>
    </w:p>
    <w:p w14:paraId="6569604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根据县政府安排，县发改委起草了《关于东至县2022年国民经济和社会发展计划执行情况与2023年计划草案的报告》。</w:t>
      </w:r>
      <w:r>
        <w:rPr>
          <w:rFonts w:hint="eastAsia" w:ascii="仿宋_GB2312" w:hAnsi="仿宋_GB2312" w:eastAsia="仿宋_GB2312" w:cs="仿宋_GB2312"/>
          <w:b/>
          <w:bCs/>
          <w:lang w:val="en-US" w:eastAsia="zh-CN"/>
        </w:rPr>
        <w:t>一是</w:t>
      </w:r>
      <w:r>
        <w:rPr>
          <w:rFonts w:hint="eastAsia" w:ascii="仿宋_GB2312" w:hAnsi="仿宋_GB2312" w:eastAsia="仿宋_GB2312" w:cs="仿宋_GB2312"/>
          <w:lang w:val="en-US" w:eastAsia="zh-CN"/>
        </w:rPr>
        <w:t>贯彻新发展理念。对我县经济社会发展的基本走势进行深入研判，针对新情况新问题研究提出2023年工作的基本思路、主要预期目标、工作重点和政策措施；</w:t>
      </w:r>
      <w:r>
        <w:rPr>
          <w:rFonts w:hint="eastAsia" w:ascii="仿宋_GB2312" w:hAnsi="仿宋_GB2312" w:eastAsia="仿宋_GB2312" w:cs="仿宋_GB2312"/>
          <w:b/>
          <w:bCs/>
          <w:lang w:val="en-US" w:eastAsia="zh-CN"/>
        </w:rPr>
        <w:t>二是</w:t>
      </w:r>
      <w:r>
        <w:rPr>
          <w:rFonts w:hint="eastAsia" w:ascii="仿宋_GB2312" w:hAnsi="仿宋_GB2312" w:eastAsia="仿宋_GB2312" w:cs="仿宋_GB2312"/>
          <w:lang w:val="en-US" w:eastAsia="zh-CN"/>
        </w:rPr>
        <w:t>强化系统观念。加强对各领域发展的分析思考，着力固根基、扬优势、补短板、强弱项；</w:t>
      </w:r>
      <w:r>
        <w:rPr>
          <w:rFonts w:hint="eastAsia" w:ascii="仿宋_GB2312" w:hAnsi="仿宋_GB2312" w:eastAsia="仿宋_GB2312" w:cs="仿宋_GB2312"/>
          <w:b/>
          <w:bCs/>
          <w:lang w:val="en-US" w:eastAsia="zh-CN"/>
        </w:rPr>
        <w:t>三是</w:t>
      </w:r>
      <w:r>
        <w:rPr>
          <w:rFonts w:hint="eastAsia" w:ascii="仿宋_GB2312" w:hAnsi="仿宋_GB2312" w:eastAsia="仿宋_GB2312" w:cs="仿宋_GB2312"/>
          <w:lang w:val="en-US" w:eastAsia="zh-CN"/>
        </w:rPr>
        <w:t>坚持科学严谨。加强综合平衡和测算，注意指标间的数量关系匹配衔接。报告与县</w:t>
      </w:r>
      <w:r>
        <w:rPr>
          <w:rFonts w:hint="eastAsia" w:ascii="仿宋_GB2312" w:hAnsi="仿宋_GB2312" w:eastAsia="仿宋_GB2312" w:cs="仿宋_GB2312"/>
        </w:rPr>
        <w:t>委、</w:t>
      </w:r>
      <w:r>
        <w:rPr>
          <w:rFonts w:hint="eastAsia" w:ascii="仿宋_GB2312" w:hAnsi="仿宋_GB2312" w:eastAsia="仿宋_GB2312" w:cs="仿宋_GB2312"/>
          <w:lang w:val="en-US" w:eastAsia="zh-CN"/>
        </w:rPr>
        <w:t>县</w:t>
      </w:r>
      <w:r>
        <w:rPr>
          <w:rFonts w:hint="eastAsia" w:ascii="仿宋_GB2312" w:hAnsi="仿宋_GB2312" w:eastAsia="仿宋_GB2312" w:cs="仿宋_GB2312"/>
        </w:rPr>
        <w:t>政府关于2022年工作的科学判断、2023年工作总体部署保持一致</w:t>
      </w:r>
      <w:r>
        <w:rPr>
          <w:rFonts w:hint="eastAsia" w:ascii="仿宋_GB2312" w:hAnsi="仿宋_GB2312" w:eastAsia="仿宋_GB2312" w:cs="仿宋_GB2312"/>
          <w:lang w:eastAsia="zh-CN"/>
        </w:rPr>
        <w:t>，</w:t>
      </w:r>
      <w:r>
        <w:rPr>
          <w:rFonts w:hint="eastAsia" w:ascii="仿宋_GB2312" w:hAnsi="仿宋_GB2312" w:eastAsia="仿宋_GB2312" w:cs="仿宋_GB2312"/>
        </w:rPr>
        <w:t>在《政府工作报告》的主要精神和基本框架下，侧重对经济发展工作的具体补充。</w:t>
      </w:r>
    </w:p>
    <w:p w14:paraId="70F4434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lang w:val="en-US" w:eastAsia="zh-CN"/>
        </w:rPr>
      </w:pPr>
      <w:r>
        <w:rPr>
          <w:rFonts w:hint="eastAsia" w:ascii="黑体" w:hAnsi="黑体" w:eastAsia="黑体" w:cs="黑体"/>
          <w:lang w:val="en-US" w:eastAsia="zh-CN"/>
        </w:rPr>
        <w:t>三、研判和起草过程</w:t>
      </w:r>
    </w:p>
    <w:p w14:paraId="11713AC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县发改委高度重视《计划报告》起草工作，11月中旬开始部署，通过收集整理各相关单位总结资料，全面掌握全县经济社会发展情况，对照年初的国民经济计划报告安排，客观反映2022年工作成绩、存在问题，认真</w:t>
      </w:r>
      <w:r>
        <w:rPr>
          <w:rFonts w:hint="eastAsia" w:ascii="仿宋_GB2312" w:hAnsi="仿宋_GB2312" w:cs="仿宋_GB2312"/>
          <w:lang w:val="en-US" w:eastAsia="zh-CN"/>
        </w:rPr>
        <w:t>学习贯彻党的二十大精神</w:t>
      </w:r>
      <w:r>
        <w:rPr>
          <w:rFonts w:hint="eastAsia" w:ascii="仿宋_GB2312" w:hAnsi="仿宋_GB2312" w:eastAsia="仿宋_GB2312" w:cs="仿宋_GB2312"/>
          <w:lang w:val="en-US" w:eastAsia="zh-CN"/>
        </w:rPr>
        <w:t>和中央经济工作会议精神，经过初步起草、框架讨论，在对各有关单位2023年工作计划进行系统归纳的基础上形成初稿。2022年12月9日、2023年1月3日两次向各乡镇政府、开发区管委会以及县直各单位广泛征求意见进行修改完善，并于2022年12月19日召开征求意见座谈会，召集县农业农村局、县科经局、县财政局等22个相关单位进行研究讨论，在此基础上形成送审稿。最后经县政府常务会议、县委常委会议、县人大常</w:t>
      </w:r>
      <w:r>
        <w:rPr>
          <w:rFonts w:hint="eastAsia" w:ascii="仿宋_GB2312" w:hAnsi="仿宋_GB2312" w:cs="仿宋_GB2312"/>
          <w:lang w:val="en-US" w:eastAsia="zh-CN"/>
        </w:rPr>
        <w:t>委</w:t>
      </w:r>
      <w:r>
        <w:rPr>
          <w:rFonts w:hint="eastAsia" w:ascii="仿宋_GB2312" w:hAnsi="仿宋_GB2312" w:eastAsia="仿宋_GB2312" w:cs="仿宋_GB2312"/>
          <w:lang w:val="en-US" w:eastAsia="zh-CN"/>
        </w:rPr>
        <w:t>会议审议通过后形成《计划报告》。</w:t>
      </w:r>
    </w:p>
    <w:p w14:paraId="1B14947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lang w:val="en-US" w:eastAsia="zh-CN"/>
        </w:rPr>
      </w:pPr>
      <w:r>
        <w:rPr>
          <w:rFonts w:hint="eastAsia" w:ascii="黑体" w:hAnsi="黑体" w:eastAsia="黑体" w:cs="黑体"/>
          <w:lang w:val="en-US" w:eastAsia="zh-CN"/>
        </w:rPr>
        <w:t>四、工作目标</w:t>
      </w:r>
    </w:p>
    <w:p w14:paraId="280947A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综合考虑宏观经济形势、政策变化因素影响、经济发展规律和我县经济增长潜力，本着实事求是、积极可行原则，同时争取在实际上做到更好，兼顾年度计划与“十四五”规划目标相衔接，</w:t>
      </w:r>
      <w:r>
        <w:rPr>
          <w:rFonts w:hint="eastAsia" w:ascii="仿宋_GB2312" w:hAnsi="仿宋_GB2312" w:eastAsia="仿宋_GB2312" w:cs="仿宋_GB2312"/>
          <w:lang w:val="en-US" w:eastAsia="zh-CN"/>
        </w:rPr>
        <w:t>建议</w:t>
      </w:r>
      <w:r>
        <w:rPr>
          <w:rFonts w:hint="eastAsia" w:ascii="仿宋_GB2312" w:hAnsi="仿宋_GB2312" w:eastAsia="仿宋_GB2312" w:cs="仿宋_GB2312"/>
        </w:rPr>
        <w:t>2023年国民经济和社会发展计划主要预期</w:t>
      </w:r>
      <w:r>
        <w:rPr>
          <w:rFonts w:hint="eastAsia" w:ascii="仿宋_GB2312" w:hAnsi="仿宋_GB2312" w:eastAsia="仿宋_GB2312" w:cs="仿宋_GB2312"/>
          <w:lang w:val="en-US" w:eastAsia="zh-CN"/>
        </w:rPr>
        <w:t>目标安排如下</w:t>
      </w:r>
      <w:r>
        <w:rPr>
          <w:rFonts w:hint="eastAsia" w:ascii="仿宋_GB2312" w:hAnsi="仿宋_GB2312" w:eastAsia="仿宋_GB2312" w:cs="仿宋_GB2312"/>
        </w:rPr>
        <w:t>：实现地区生产总值298.2亿元、增长9%，三次产业结构调整为12.8 : 48.6 : 38.6；一般公共预算收入增长</w:t>
      </w:r>
      <w:r>
        <w:rPr>
          <w:rFonts w:hint="eastAsia" w:ascii="仿宋_GB2312" w:hAnsi="仿宋_GB2312" w:eastAsia="仿宋_GB2312" w:cs="仿宋_GB2312"/>
          <w:lang w:val="en-US" w:eastAsia="zh-CN"/>
        </w:rPr>
        <w:t>9.5</w:t>
      </w:r>
      <w:r>
        <w:rPr>
          <w:rFonts w:hint="eastAsia" w:ascii="仿宋_GB2312" w:hAnsi="仿宋_GB2312" w:eastAsia="仿宋_GB2312" w:cs="仿宋_GB2312"/>
        </w:rPr>
        <w:t>%；规上工业增加值增长1</w:t>
      </w:r>
      <w:r>
        <w:rPr>
          <w:rFonts w:hint="eastAsia" w:ascii="仿宋_GB2312" w:hAnsi="仿宋_GB2312" w:eastAsia="仿宋_GB2312" w:cs="仿宋_GB2312"/>
          <w:lang w:val="en-US" w:eastAsia="zh-CN"/>
        </w:rPr>
        <w:t>3</w:t>
      </w:r>
      <w:r>
        <w:rPr>
          <w:rFonts w:hint="eastAsia" w:ascii="仿宋_GB2312" w:hAnsi="仿宋_GB2312" w:eastAsia="仿宋_GB2312" w:cs="仿宋_GB2312"/>
        </w:rPr>
        <w:t>%；社会消费品零售总额增长1</w:t>
      </w:r>
      <w:r>
        <w:rPr>
          <w:rFonts w:hint="eastAsia" w:ascii="仿宋_GB2312" w:hAnsi="仿宋_GB2312" w:eastAsia="仿宋_GB2312" w:cs="仿宋_GB2312"/>
          <w:lang w:val="en-US" w:eastAsia="zh-CN"/>
        </w:rPr>
        <w:t>1</w:t>
      </w:r>
      <w:r>
        <w:rPr>
          <w:rFonts w:hint="eastAsia" w:ascii="仿宋_GB2312" w:hAnsi="仿宋_GB2312" w:eastAsia="仿宋_GB2312" w:cs="仿宋_GB2312"/>
        </w:rPr>
        <w:t>%；固定资产投资增长16%；城镇居民人均可支配收入增长8.8%，农村居民人均可支配收入增长9.4%。</w:t>
      </w:r>
    </w:p>
    <w:p w14:paraId="37C2641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lang w:val="en-US" w:eastAsia="zh-CN"/>
        </w:rPr>
      </w:pPr>
      <w:r>
        <w:rPr>
          <w:rFonts w:hint="eastAsia" w:ascii="黑体" w:hAnsi="黑体" w:eastAsia="黑体" w:cs="黑体"/>
          <w:lang w:val="en-US" w:eastAsia="zh-CN"/>
        </w:rPr>
        <w:t>五、主要内容</w:t>
      </w:r>
    </w:p>
    <w:p w14:paraId="524E6DF3">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b/>
          <w:bCs/>
        </w:rPr>
        <w:t>第一部分是</w:t>
      </w:r>
      <w:r>
        <w:rPr>
          <w:rFonts w:hint="eastAsia" w:ascii="仿宋_GB2312" w:hAnsi="仿宋_GB2312" w:eastAsia="仿宋_GB2312" w:cs="仿宋_GB2312"/>
          <w:b/>
          <w:bCs/>
          <w:lang w:val="en-US" w:eastAsia="zh-CN"/>
        </w:rPr>
        <w:t>2022</w:t>
      </w:r>
      <w:r>
        <w:rPr>
          <w:rFonts w:hint="eastAsia" w:ascii="仿宋_GB2312" w:hAnsi="仿宋_GB2312" w:eastAsia="仿宋_GB2312" w:cs="仿宋_GB2312"/>
          <w:b/>
          <w:bCs/>
        </w:rPr>
        <w:t>年国民经济和社会发展计划执行情况。</w:t>
      </w:r>
      <w:r>
        <w:rPr>
          <w:rFonts w:hint="eastAsia" w:ascii="仿宋_GB2312" w:hAnsi="仿宋_GB2312" w:eastAsia="仿宋_GB2312" w:cs="仿宋_GB2312"/>
        </w:rPr>
        <w:t>一是总述了20</w:t>
      </w:r>
      <w:r>
        <w:rPr>
          <w:rFonts w:hint="eastAsia" w:ascii="仿宋_GB2312" w:hAnsi="仿宋_GB2312" w:eastAsia="仿宋_GB2312" w:cs="仿宋_GB2312"/>
          <w:lang w:val="en-US" w:eastAsia="zh-CN"/>
        </w:rPr>
        <w:t>22</w:t>
      </w:r>
      <w:r>
        <w:rPr>
          <w:rFonts w:hint="eastAsia" w:ascii="仿宋_GB2312" w:hAnsi="仿宋_GB2312" w:eastAsia="仿宋_GB2312" w:cs="仿宋_GB2312"/>
        </w:rPr>
        <w:t>年全县主要经济社会指标完成情况。二是全面总结了20</w:t>
      </w:r>
      <w:r>
        <w:rPr>
          <w:rFonts w:hint="eastAsia" w:ascii="仿宋_GB2312" w:hAnsi="仿宋_GB2312" w:eastAsia="仿宋_GB2312" w:cs="仿宋_GB2312"/>
          <w:lang w:val="en-US" w:eastAsia="zh-CN"/>
        </w:rPr>
        <w:t>22</w:t>
      </w:r>
      <w:r>
        <w:rPr>
          <w:rFonts w:hint="eastAsia" w:ascii="仿宋_GB2312" w:hAnsi="仿宋_GB2312" w:eastAsia="仿宋_GB2312" w:cs="仿宋_GB2312"/>
        </w:rPr>
        <w:t>年全县国民经济和社会发展取得的成效。三是详细分析了当前全县国民经济和社会发展存在的问题。</w:t>
      </w:r>
    </w:p>
    <w:p w14:paraId="5225EC44">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_GB2312" w:hAnsi="仿宋_GB2312" w:eastAsia="仿宋_GB2312" w:cs="仿宋_GB2312"/>
          <w:lang w:eastAsia="zh-CN"/>
        </w:rPr>
      </w:pPr>
      <w:r>
        <w:rPr>
          <w:rFonts w:hint="eastAsia" w:ascii="仿宋_GB2312" w:hAnsi="仿宋_GB2312" w:eastAsia="仿宋_GB2312" w:cs="仿宋_GB2312"/>
          <w:b/>
          <w:bCs/>
        </w:rPr>
        <w:t>第二部分是</w:t>
      </w:r>
      <w:r>
        <w:rPr>
          <w:rFonts w:hint="eastAsia" w:ascii="仿宋_GB2312" w:hAnsi="仿宋_GB2312" w:eastAsia="仿宋_GB2312" w:cs="仿宋_GB2312"/>
          <w:b/>
          <w:bCs/>
          <w:lang w:val="en-US" w:eastAsia="zh-CN"/>
        </w:rPr>
        <w:t>提出2023年全县国民经济和社会发展工作的总体要求和主要目标建议</w:t>
      </w:r>
      <w:r>
        <w:rPr>
          <w:rFonts w:hint="eastAsia" w:ascii="仿宋_GB2312" w:hAnsi="仿宋_GB2312" w:eastAsia="仿宋_GB2312" w:cs="仿宋_GB2312"/>
          <w:lang w:val="en-US" w:eastAsia="zh-CN"/>
        </w:rPr>
        <w:t>。</w:t>
      </w:r>
      <w:r>
        <w:rPr>
          <w:rFonts w:hint="eastAsia" w:ascii="仿宋_GB2312" w:hAnsi="仿宋_GB2312" w:eastAsia="仿宋_GB2312" w:cs="仿宋_GB2312"/>
        </w:rPr>
        <w:t>一是结合发展阶段判断分析</w:t>
      </w:r>
      <w:r>
        <w:rPr>
          <w:rFonts w:hint="eastAsia" w:ascii="仿宋_GB2312" w:hAnsi="仿宋_GB2312" w:eastAsia="仿宋_GB2312" w:cs="仿宋_GB2312"/>
          <w:lang w:val="en-US" w:eastAsia="zh-CN"/>
        </w:rPr>
        <w:t>2023年全县国民经济和社会发展工作的总体要求。</w:t>
      </w:r>
      <w:r>
        <w:rPr>
          <w:rFonts w:hint="eastAsia" w:ascii="仿宋_GB2312" w:hAnsi="仿宋_GB2312" w:eastAsia="仿宋_GB2312" w:cs="仿宋_GB2312"/>
        </w:rPr>
        <w:t>二是提出了202</w:t>
      </w:r>
      <w:r>
        <w:rPr>
          <w:rFonts w:hint="eastAsia" w:ascii="仿宋_GB2312" w:hAnsi="仿宋_GB2312" w:eastAsia="仿宋_GB2312" w:cs="仿宋_GB2312"/>
          <w:lang w:val="en-US" w:eastAsia="zh-CN"/>
        </w:rPr>
        <w:t>3</w:t>
      </w:r>
      <w:r>
        <w:rPr>
          <w:rFonts w:hint="eastAsia" w:ascii="仿宋_GB2312" w:hAnsi="仿宋_GB2312" w:eastAsia="仿宋_GB2312" w:cs="仿宋_GB2312"/>
        </w:rPr>
        <w:t>年</w:t>
      </w:r>
      <w:r>
        <w:rPr>
          <w:rFonts w:hint="eastAsia" w:ascii="仿宋_GB2312" w:hAnsi="仿宋_GB2312" w:eastAsia="仿宋_GB2312" w:cs="仿宋_GB2312"/>
          <w:lang w:val="en-US" w:eastAsia="zh-CN"/>
        </w:rPr>
        <w:t>主要</w:t>
      </w:r>
      <w:r>
        <w:rPr>
          <w:rFonts w:hint="eastAsia" w:ascii="仿宋_GB2312" w:hAnsi="仿宋_GB2312" w:eastAsia="仿宋_GB2312" w:cs="仿宋_GB2312"/>
        </w:rPr>
        <w:t>目标建议</w:t>
      </w:r>
      <w:r>
        <w:rPr>
          <w:rFonts w:hint="eastAsia" w:ascii="仿宋_GB2312" w:hAnsi="仿宋_GB2312" w:eastAsia="仿宋_GB2312" w:cs="仿宋_GB2312"/>
          <w:lang w:eastAsia="zh-CN"/>
        </w:rPr>
        <w:t>。</w:t>
      </w:r>
    </w:p>
    <w:p w14:paraId="0F29B33D">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b/>
          <w:bCs/>
          <w:lang w:val="en-US" w:eastAsia="zh-CN"/>
        </w:rPr>
        <w:t>第三部分是提出2023年经济社会发展主要工作。</w:t>
      </w:r>
      <w:r>
        <w:rPr>
          <w:rFonts w:hint="eastAsia" w:ascii="仿宋_GB2312" w:hAnsi="仿宋_GB2312" w:eastAsia="仿宋_GB2312" w:cs="仿宋_GB2312"/>
        </w:rPr>
        <w:t>主要</w:t>
      </w:r>
      <w:r>
        <w:rPr>
          <w:rFonts w:hint="eastAsia" w:ascii="仿宋_GB2312" w:hAnsi="仿宋_GB2312" w:eastAsia="仿宋_GB2312" w:cs="仿宋_GB2312"/>
          <w:lang w:val="en-US" w:eastAsia="zh-CN"/>
        </w:rPr>
        <w:t>从以下五</w:t>
      </w:r>
      <w:r>
        <w:rPr>
          <w:rFonts w:hint="eastAsia" w:ascii="仿宋_GB2312" w:hAnsi="仿宋_GB2312" w:eastAsia="仿宋_GB2312" w:cs="仿宋_GB2312"/>
        </w:rPr>
        <w:t>个方面</w:t>
      </w:r>
      <w:r>
        <w:rPr>
          <w:rFonts w:hint="eastAsia" w:ascii="仿宋_GB2312" w:hAnsi="仿宋_GB2312" w:eastAsia="仿宋_GB2312" w:cs="仿宋_GB2312"/>
          <w:lang w:val="en-US" w:eastAsia="zh-CN"/>
        </w:rPr>
        <w:t>进行安排</w:t>
      </w:r>
      <w:r>
        <w:rPr>
          <w:rFonts w:hint="eastAsia" w:ascii="仿宋_GB2312" w:hAnsi="仿宋_GB2312" w:eastAsia="仿宋_GB2312" w:cs="仿宋_GB2312"/>
        </w:rPr>
        <w:t>：</w:t>
      </w:r>
      <w:r>
        <w:rPr>
          <w:rFonts w:hint="eastAsia" w:ascii="楷体_GB2312" w:hAnsi="楷体_GB2312" w:eastAsia="楷体_GB2312" w:cs="楷体_GB2312"/>
          <w:b/>
          <w:bCs/>
          <w:lang w:val="en-US" w:eastAsia="zh-CN"/>
        </w:rPr>
        <w:t>一是培育关键发展支撑。</w:t>
      </w:r>
      <w:r>
        <w:rPr>
          <w:rFonts w:hint="eastAsia" w:ascii="仿宋_GB2312" w:hAnsi="仿宋_GB2312" w:eastAsia="仿宋_GB2312" w:cs="仿宋_GB2312"/>
          <w:lang w:val="en-US" w:eastAsia="zh-CN"/>
        </w:rPr>
        <w:t>主要从项目谋划储备、扩大有效投资、推进双招双引、提档园区平台等方面进行。</w:t>
      </w:r>
      <w:r>
        <w:rPr>
          <w:rFonts w:hint="eastAsia" w:ascii="楷体_GB2312" w:hAnsi="楷体_GB2312" w:eastAsia="楷体_GB2312" w:cs="楷体_GB2312"/>
          <w:b/>
          <w:bCs/>
          <w:lang w:val="en-US" w:eastAsia="zh-CN"/>
        </w:rPr>
        <w:t>二是加快建设实力东至。</w:t>
      </w:r>
      <w:r>
        <w:rPr>
          <w:rFonts w:hint="eastAsia" w:ascii="仿宋_GB2312" w:hAnsi="仿宋_GB2312" w:eastAsia="仿宋_GB2312" w:cs="仿宋_GB2312"/>
          <w:lang w:val="en-US" w:eastAsia="zh-CN"/>
        </w:rPr>
        <w:t>主要从推动三次产业高质量协同发展和增强金融服务实体经济能力等方面进行。</w:t>
      </w:r>
      <w:r>
        <w:rPr>
          <w:rFonts w:hint="eastAsia" w:ascii="楷体_GB2312" w:hAnsi="楷体_GB2312" w:eastAsia="楷体_GB2312" w:cs="楷体_GB2312"/>
          <w:b/>
          <w:bCs/>
          <w:lang w:val="en-US" w:eastAsia="zh-CN"/>
        </w:rPr>
        <w:t>三是加快建设宜居东至。</w:t>
      </w:r>
      <w:r>
        <w:rPr>
          <w:rFonts w:hint="eastAsia" w:ascii="仿宋_GB2312" w:hAnsi="仿宋_GB2312" w:eastAsia="仿宋_GB2312" w:cs="仿宋_GB2312"/>
          <w:lang w:val="en-US" w:eastAsia="zh-CN"/>
        </w:rPr>
        <w:t>主要从加强生态环境保护、推动绿色低碳发展、提升城市能级品味、推进和美乡村建设等方面进行。</w:t>
      </w:r>
      <w:r>
        <w:rPr>
          <w:rFonts w:hint="eastAsia" w:ascii="楷体_GB2312" w:hAnsi="楷体_GB2312" w:eastAsia="楷体_GB2312" w:cs="楷体_GB2312"/>
          <w:b/>
          <w:bCs/>
          <w:lang w:val="en-US" w:eastAsia="zh-CN"/>
        </w:rPr>
        <w:t>四是加快建设活力东至。</w:t>
      </w:r>
      <w:r>
        <w:rPr>
          <w:rFonts w:hint="eastAsia" w:ascii="仿宋_GB2312" w:hAnsi="仿宋_GB2312" w:eastAsia="仿宋_GB2312" w:cs="仿宋_GB2312"/>
          <w:lang w:val="en-US" w:eastAsia="zh-CN"/>
        </w:rPr>
        <w:t>主要从激发消费市场活力潜力、提升对外开放层次水平、营建多元友好包容氛围、深化重点领域改革攻坚等方面进行。</w:t>
      </w:r>
      <w:r>
        <w:rPr>
          <w:rFonts w:hint="eastAsia" w:ascii="楷体_GB2312" w:hAnsi="楷体_GB2312" w:eastAsia="楷体_GB2312" w:cs="楷体_GB2312"/>
          <w:b/>
          <w:bCs/>
          <w:lang w:val="en-US" w:eastAsia="zh-CN"/>
        </w:rPr>
        <w:t>五是加快建设幸福东至。</w:t>
      </w:r>
      <w:r>
        <w:rPr>
          <w:rFonts w:hint="eastAsia" w:ascii="仿宋_GB2312" w:hAnsi="仿宋_GB2312" w:eastAsia="仿宋_GB2312" w:cs="仿宋_GB2312"/>
          <w:lang w:val="en-US" w:eastAsia="zh-CN"/>
        </w:rPr>
        <w:t>主要从办好民生实事、推动共同富裕、升级公共服务、维护社会安定等方面进行。</w:t>
      </w:r>
    </w:p>
    <w:p w14:paraId="3837C97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lang w:val="en-US" w:eastAsia="zh-CN"/>
        </w:rPr>
      </w:pPr>
      <w:r>
        <w:rPr>
          <w:rFonts w:hint="eastAsia" w:ascii="黑体" w:hAnsi="黑体" w:eastAsia="黑体" w:cs="黑体"/>
          <w:lang w:val="en-US" w:eastAsia="zh-CN"/>
        </w:rPr>
        <w:t>六、创新举措</w:t>
      </w:r>
    </w:p>
    <w:p w14:paraId="0C210F6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lang w:eastAsia="zh-CN"/>
        </w:rPr>
      </w:pPr>
      <w:r>
        <w:rPr>
          <w:rFonts w:hint="eastAsia" w:ascii="仿宋_GB2312" w:hAnsi="仿宋_GB2312" w:eastAsia="仿宋_GB2312" w:cs="仿宋_GB2312"/>
        </w:rPr>
        <w:t>制定东至县规范政府投资项目管理若干措施，编制实施《推动基础设施高质量发展的实施意见》《东至县2022年度有效投资攻坚行动方案》。建立“123”抓项目稳投资工作机制、项目建设述职制度、建立“周、旬、月、季”调度、周六会商、县领导联系重点项目、“2+5+X”重大项目专班推进等工作机制</w:t>
      </w:r>
      <w:r>
        <w:rPr>
          <w:rFonts w:hint="eastAsia" w:ascii="仿宋_GB2312" w:hAnsi="仿宋_GB2312" w:eastAsia="仿宋_GB2312" w:cs="仿宋_GB2312"/>
          <w:lang w:eastAsia="zh-CN"/>
        </w:rPr>
        <w:t>。</w:t>
      </w:r>
    </w:p>
    <w:p w14:paraId="6EF6099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lang w:val="en-US" w:eastAsia="zh-CN"/>
        </w:rPr>
      </w:pPr>
      <w:r>
        <w:rPr>
          <w:rFonts w:hint="eastAsia" w:ascii="黑体" w:hAnsi="黑体" w:eastAsia="黑体" w:cs="黑体"/>
          <w:lang w:val="en-US" w:eastAsia="zh-CN"/>
        </w:rPr>
        <w:t>七、保障措施和下一步工作考虑</w:t>
      </w:r>
    </w:p>
    <w:p w14:paraId="15A512E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rPr>
        <w:t>下一步，将按照《计划报告》确定的国民经济和社会发展计划和主要任务，认真抓好贯彻落实，</w:t>
      </w:r>
      <w:r>
        <w:rPr>
          <w:rFonts w:hint="eastAsia" w:ascii="仿宋_GB2312" w:hAnsi="仿宋_GB2312" w:eastAsia="仿宋_GB2312" w:cs="仿宋_GB2312"/>
          <w:lang w:val="en-US" w:eastAsia="zh-CN"/>
        </w:rPr>
        <w:t>在县委、县政府的坚强领导下，以咬定青山不放松的执着精神和行百里者半九十的清醒不懈，坚定信心、拿出拼劲，迎难而上、勇毅前进，不断开拓高质量发展新局面，为谱写东至现代化新篇章而不懈奋斗。</w:t>
      </w:r>
    </w:p>
    <w:p w14:paraId="341CD6E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lang w:val="en-US" w:eastAsia="zh-CN"/>
        </w:rPr>
      </w:pPr>
      <w:r>
        <w:rPr>
          <w:rFonts w:hint="eastAsia" w:ascii="黑体" w:hAnsi="黑体" w:eastAsia="黑体" w:cs="黑体"/>
          <w:lang w:val="en-US" w:eastAsia="zh-CN"/>
        </w:rPr>
        <w:t>八、解读机关和解读人</w:t>
      </w:r>
    </w:p>
    <w:p w14:paraId="51A1665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解读机关：东至县发展和改革委员会</w:t>
      </w:r>
    </w:p>
    <w:p w14:paraId="2FC36F1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解</w:t>
      </w:r>
      <w:r>
        <w:rPr>
          <w:rFonts w:hint="eastAsia" w:ascii="仿宋_GB2312" w:hAnsi="仿宋_GB2312" w:cs="仿宋_GB2312"/>
          <w:lang w:val="en-US" w:eastAsia="zh-CN"/>
        </w:rPr>
        <w:t xml:space="preserve"> </w:t>
      </w:r>
      <w:r>
        <w:rPr>
          <w:rFonts w:hint="eastAsia" w:ascii="仿宋_GB2312" w:hAnsi="仿宋_GB2312" w:eastAsia="仿宋_GB2312" w:cs="仿宋_GB2312"/>
          <w:lang w:val="en-US" w:eastAsia="zh-CN"/>
        </w:rPr>
        <w:t>读</w:t>
      </w:r>
      <w:r>
        <w:rPr>
          <w:rFonts w:hint="eastAsia" w:ascii="仿宋_GB2312" w:hAnsi="仿宋_GB2312" w:cs="仿宋_GB2312"/>
          <w:lang w:val="en-US" w:eastAsia="zh-CN"/>
        </w:rPr>
        <w:t xml:space="preserve"> </w:t>
      </w:r>
      <w:r>
        <w:rPr>
          <w:rFonts w:hint="eastAsia" w:ascii="仿宋_GB2312" w:hAnsi="仿宋_GB2312" w:eastAsia="仿宋_GB2312" w:cs="仿宋_GB2312"/>
          <w:lang w:val="en-US" w:eastAsia="zh-CN"/>
        </w:rPr>
        <w:t>人：综合科</w:t>
      </w:r>
      <w:r>
        <w:rPr>
          <w:rFonts w:hint="eastAsia" w:ascii="仿宋_GB2312" w:hAnsi="仿宋_GB2312" w:cs="仿宋_GB2312"/>
          <w:lang w:val="en-US" w:eastAsia="zh-CN"/>
        </w:rPr>
        <w:t xml:space="preserve"> </w:t>
      </w:r>
      <w:r>
        <w:rPr>
          <w:rFonts w:hint="eastAsia" w:ascii="仿宋_GB2312" w:hAnsi="仿宋_GB2312" w:eastAsia="仿宋_GB2312" w:cs="仿宋_GB2312"/>
          <w:lang w:val="en-US" w:eastAsia="zh-CN"/>
        </w:rPr>
        <w:t xml:space="preserve">王超  </w:t>
      </w:r>
    </w:p>
    <w:p w14:paraId="34F2AA7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咨询电话：0566-7018604</w:t>
      </w:r>
    </w:p>
    <w:p w14:paraId="6223F96A">
      <w:pPr>
        <w:rPr>
          <w:rFonts w:hint="eastAsia" w:ascii="仿宋_GB2312" w:hAnsi="仿宋_GB2312" w:eastAsia="仿宋_GB2312" w:cs="仿宋_GB2312"/>
          <w:color w:val="auto"/>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5ZWI1YTZhMWE2Y2Y4NDJiZTllYmFlNDFkYzk0YTEifQ=="/>
  </w:docVars>
  <w:rsids>
    <w:rsidRoot w:val="1CDC165B"/>
    <w:rsid w:val="1CDC165B"/>
    <w:rsid w:val="258C0121"/>
    <w:rsid w:val="52E824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jc w:val="both"/>
    </w:pPr>
    <w:rPr>
      <w:rFonts w:eastAsia="仿宋_GB2312" w:asciiTheme="minorAscii" w:hAnsiTheme="minorAscii" w:cstheme="minorBidi"/>
      <w:kern w:val="2"/>
      <w:sz w:val="32"/>
      <w:szCs w:val="24"/>
      <w:lang w:val="en-US" w:eastAsia="zh-CN" w:bidi="ar-SA"/>
    </w:rPr>
  </w:style>
  <w:style w:type="paragraph" w:styleId="3">
    <w:name w:val="heading 1"/>
    <w:basedOn w:val="1"/>
    <w:qFormat/>
    <w:uiPriority w:val="0"/>
    <w:pPr>
      <w:keepNext/>
      <w:keepLines/>
      <w:spacing w:beforeLines="0" w:beforeAutospacing="0" w:afterLines="0" w:afterAutospacing="0" w:line="560" w:lineRule="exact"/>
      <w:jc w:val="center"/>
      <w:outlineLvl w:val="0"/>
    </w:pPr>
    <w:rPr>
      <w:rFonts w:ascii="方正小标宋简体" w:hAnsi="方正小标宋简体" w:eastAsia="方正小标宋简体"/>
      <w:kern w:val="44"/>
      <w:sz w:val="40"/>
    </w:rPr>
  </w:style>
  <w:style w:type="paragraph" w:styleId="4">
    <w:name w:val="heading 2"/>
    <w:basedOn w:val="1"/>
    <w:next w:val="1"/>
    <w:unhideWhenUsed/>
    <w:qFormat/>
    <w:uiPriority w:val="0"/>
    <w:pPr>
      <w:keepNext/>
      <w:keepLines/>
      <w:spacing w:line="560" w:lineRule="exact"/>
      <w:ind w:firstLine="800" w:firstLineChars="200"/>
      <w:outlineLvl w:val="1"/>
    </w:pPr>
    <w:rPr>
      <w:rFonts w:eastAsia="黑体" w:asciiTheme="majorAscii" w:hAnsiTheme="majorAscii" w:cstheme="majorBidi"/>
      <w:bCs/>
      <w:szCs w:val="32"/>
    </w:rPr>
  </w:style>
  <w:style w:type="paragraph" w:styleId="5">
    <w:name w:val="heading 3"/>
    <w:basedOn w:val="1"/>
    <w:next w:val="1"/>
    <w:unhideWhenUsed/>
    <w:qFormat/>
    <w:uiPriority w:val="0"/>
    <w:pPr>
      <w:keepNext/>
      <w:keepLines/>
      <w:spacing w:beforeLines="0" w:beforeAutospacing="0" w:afterLines="0" w:afterAutospacing="0" w:line="560" w:lineRule="exact"/>
      <w:ind w:firstLine="800" w:firstLineChars="200"/>
      <w:outlineLvl w:val="2"/>
    </w:pPr>
    <w:rPr>
      <w:rFonts w:ascii="仿宋_GB2312" w:hAnsi="仿宋_GB2312" w:eastAsia="楷体_GB2312"/>
      <w:b/>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Heading2"/>
    <w:basedOn w:val="1"/>
    <w:next w:val="1"/>
    <w:qFormat/>
    <w:uiPriority w:val="0"/>
    <w:pPr>
      <w:keepNext/>
      <w:keepLines/>
      <w:spacing w:before="260" w:after="260" w:line="416" w:lineRule="auto"/>
      <w:textAlignment w:val="baseline"/>
    </w:pPr>
    <w:rPr>
      <w:rFonts w:ascii="Cambria" w:hAnsi="Cambria"/>
      <w:b/>
      <w:bCs/>
      <w:sz w:val="32"/>
      <w:szCs w:val="32"/>
    </w:rPr>
  </w:style>
  <w:style w:type="paragraph" w:styleId="6">
    <w:name w:val="table of authorities"/>
    <w:basedOn w:val="1"/>
    <w:next w:val="1"/>
    <w:qFormat/>
    <w:uiPriority w:val="99"/>
    <w:pPr>
      <w:ind w:left="420" w:left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1816</Words>
  <Characters>1945</Characters>
  <Lines>0</Lines>
  <Paragraphs>0</Paragraphs>
  <TotalTime>0</TotalTime>
  <ScaleCrop>false</ScaleCrop>
  <LinksUpToDate>false</LinksUpToDate>
  <CharactersWithSpaces>1954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2023-10-18T06:40:00Z</dcterms:created>
  <dc:creator>县发改委管理员</dc:creator>
  <cp:lastModifiedBy>县发改委管理员</cp:lastModifiedBy>
  <dcterms:modified xsi:type="dcterms:W3CDTF">2025-07-25T10:26:37Z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4772F18E2DDE42548859A2C4C13E723B_11</vt:lpwstr>
  </property>
  <property fmtid="{D5CDD505-2E9C-101B-9397-08002B2CF9AE}" pid="4" name="KSOTemplateDocerSaveRecord">
    <vt:lpwstr>eyJoZGlkIjoiZTc5ZWI1YTZhMWE2Y2Y4NDJiZTllYmFlNDFkYzk0YTEiLCJ1c2VySWQiOiIyMzA4MDUzMjEifQ==</vt:lpwstr>
  </property>
</Properties>
</file>