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EF9FEB">
      <w:pPr>
        <w:pStyle w:val="2"/>
        <w:bidi w:val="0"/>
      </w:pPr>
      <w:r>
        <w:t>《东至县政府投资项目代建制管理暂行</w:t>
      </w:r>
    </w:p>
    <w:p w14:paraId="0B9CEBA1">
      <w:pPr>
        <w:pStyle w:val="2"/>
        <w:bidi w:val="0"/>
      </w:pPr>
      <w:r>
        <w:t>办法》修订说明</w:t>
      </w:r>
    </w:p>
    <w:p w14:paraId="26B18B0C"/>
    <w:p w14:paraId="10875D9B">
      <w:pPr>
        <w:bidi w:val="0"/>
      </w:pPr>
      <w:r>
        <w:rPr>
          <w:lang w:val="en-US" w:eastAsia="zh-CN"/>
        </w:rPr>
        <w:t>为进一步规范我县政府投资项目代建管理，强化投资控制、质量安全与资金监管，衔接上位政策与现行管理要求，我县对2021年版《东至县政府投资项目代建制管理暂行办法》进行修订，形成2026年修订版。本次修订严格依据《政府投资条例》（国务院令第712号）</w:t>
      </w:r>
      <w:r>
        <w:rPr>
          <w:rFonts w:hint="eastAsia"/>
          <w:lang w:val="en-US" w:eastAsia="zh-CN"/>
        </w:rPr>
        <w:t>《中华人民共和国招标投标法》（国务院令第709号）</w:t>
      </w:r>
      <w:r>
        <w:rPr>
          <w:lang w:val="en-US" w:eastAsia="zh-CN"/>
        </w:rPr>
        <w:t>《安徽省政府投资管理办法》（皖政秘〔2022〕194号）及国家、省相关政策，结合我县政府投资项目实际运行情况，对条款内容、职责分工、实施流程、资金管理、监督追责等方面优化完善，具体修订内容如下：</w:t>
      </w:r>
    </w:p>
    <w:p w14:paraId="3FABC59F">
      <w:pPr>
        <w:pStyle w:val="3"/>
        <w:bidi w:val="0"/>
      </w:pPr>
      <w:r>
        <w:t>一、总则部分修订</w:t>
      </w:r>
    </w:p>
    <w:p w14:paraId="3CB329EC">
      <w:pPr>
        <w:pStyle w:val="5"/>
        <w:bidi w:val="0"/>
      </w:pPr>
      <w:r>
        <w:rPr>
          <w:rFonts w:hint="eastAsia"/>
          <w:lang w:val="en-US" w:eastAsia="zh-CN"/>
        </w:rPr>
        <w:t>（一）</w:t>
      </w:r>
      <w:r>
        <w:t>立法依据增补</w:t>
      </w:r>
    </w:p>
    <w:p w14:paraId="2B114618">
      <w:pPr>
        <w:bidi w:val="0"/>
      </w:pPr>
      <w:r>
        <w:rPr>
          <w:lang w:val="en-US" w:eastAsia="zh-CN"/>
        </w:rPr>
        <w:t>1.</w:t>
      </w:r>
      <w:r>
        <w:t>改动：原办法</w:t>
      </w:r>
      <w:r>
        <w:rPr>
          <w:rFonts w:hint="eastAsia"/>
          <w:lang w:val="en-US" w:eastAsia="zh-CN"/>
        </w:rPr>
        <w:t>第一条</w:t>
      </w:r>
      <w:r>
        <w:t>仅笼统表述“国家、省相关政策”；修订版明确列明《政府投资条例》</w:t>
      </w:r>
      <w:r>
        <w:rPr>
          <w:rFonts w:hint="eastAsia"/>
          <w:lang w:val="en-US" w:eastAsia="zh-CN"/>
        </w:rPr>
        <w:t>《中华人民共和国招标投标法》</w:t>
      </w:r>
      <w:r>
        <w:t>《安徽省政府投资管理办法》等上位法规依据。</w:t>
      </w:r>
    </w:p>
    <w:p w14:paraId="38EB8ABB">
      <w:pPr>
        <w:bidi w:val="0"/>
        <w:rPr>
          <w:color w:val="000000"/>
          <w:szCs w:val="24"/>
        </w:rPr>
      </w:pPr>
      <w:r>
        <w:rPr>
          <w:lang w:val="en-US" w:eastAsia="zh-CN"/>
        </w:rPr>
        <w:t>2.</w:t>
      </w:r>
      <w:r>
        <w:t>依据：落实国家、省关于政府投资管理的最新法规要求，确保政策合规性。</w:t>
      </w:r>
    </w:p>
    <w:p w14:paraId="6C52369D">
      <w:pPr>
        <w:pStyle w:val="5"/>
        <w:bidi w:val="0"/>
      </w:pPr>
      <w:r>
        <w:rPr>
          <w:rFonts w:hint="eastAsia"/>
          <w:lang w:val="en-US" w:eastAsia="zh-CN"/>
        </w:rPr>
        <w:t>（二）</w:t>
      </w:r>
      <w:r>
        <w:t>代建单位确定方式规范</w:t>
      </w:r>
    </w:p>
    <w:p w14:paraId="0C90C112">
      <w:pPr>
        <w:bidi w:val="0"/>
      </w:pPr>
      <w:r>
        <w:rPr>
          <w:lang w:val="en-US" w:eastAsia="zh-CN"/>
        </w:rPr>
        <w:t>1.</w:t>
      </w:r>
      <w:r>
        <w:t>改动：原办法</w:t>
      </w:r>
      <w:r>
        <w:rPr>
          <w:rFonts w:hint="eastAsia"/>
          <w:lang w:val="en-US" w:eastAsia="zh-CN"/>
        </w:rPr>
        <w:t>第二条</w:t>
      </w:r>
      <w:r>
        <w:t>表述“通过招标或委托等方式选择”；修订版明确为“公开选择专业化项目管理单位”。</w:t>
      </w:r>
    </w:p>
    <w:p w14:paraId="61390FEF">
      <w:pPr>
        <w:bidi w:val="0"/>
      </w:pPr>
      <w:r>
        <w:rPr>
          <w:lang w:val="en-US" w:eastAsia="zh-CN"/>
        </w:rPr>
        <w:t>2.</w:t>
      </w:r>
      <w:r>
        <w:t>依据：</w:t>
      </w:r>
      <w:r>
        <w:rPr>
          <w:rFonts w:hint="eastAsia"/>
          <w:lang w:val="en-US" w:eastAsia="zh-CN"/>
        </w:rPr>
        <w:t>根据《中华人民共和国招标投标法》，</w:t>
      </w:r>
      <w:r>
        <w:t>规范代建单位选取程序，严控非公开委托范围，防范廉政风险。</w:t>
      </w:r>
    </w:p>
    <w:p w14:paraId="7900B7A8">
      <w:pPr>
        <w:pStyle w:val="5"/>
        <w:bidi w:val="0"/>
      </w:pPr>
      <w:r>
        <w:rPr>
          <w:rFonts w:hint="eastAsia"/>
          <w:lang w:val="en-US" w:eastAsia="zh-CN"/>
        </w:rPr>
        <w:t>（三）</w:t>
      </w:r>
      <w:r>
        <w:t>代建单位资格条件优化</w:t>
      </w:r>
    </w:p>
    <w:p w14:paraId="540CBFC9">
      <w:pPr>
        <w:bidi w:val="0"/>
      </w:pPr>
      <w:r>
        <w:rPr>
          <w:lang w:val="en-US" w:eastAsia="zh-CN"/>
        </w:rPr>
        <w:t>1.</w:t>
      </w:r>
      <w:r>
        <w:t>改动：删除原</w:t>
      </w:r>
      <w:r>
        <w:rPr>
          <w:rFonts w:hint="eastAsia"/>
          <w:lang w:val="en-US" w:eastAsia="zh-CN"/>
        </w:rPr>
        <w:t>办法第四条</w:t>
      </w:r>
      <w:r>
        <w:t>“具有与项目相适应的资金实力”要求，新增</w:t>
      </w:r>
      <w:r>
        <w:rPr>
          <w:rFonts w:hint="eastAsia"/>
          <w:lang w:eastAsia="zh-CN"/>
        </w:rPr>
        <w:t>“</w:t>
      </w:r>
      <w:r>
        <w:t>具有相适应的工程勘察、设计、施工、监理、造价咨询、招标代理等一项或多项资质”“良好财务状况和社会信誉”。</w:t>
      </w:r>
    </w:p>
    <w:p w14:paraId="739511B5">
      <w:pPr>
        <w:bidi w:val="0"/>
      </w:pPr>
      <w:r>
        <w:rPr>
          <w:lang w:val="en-US" w:eastAsia="zh-CN"/>
        </w:rPr>
        <w:t>2.</w:t>
      </w:r>
      <w:r>
        <w:t>依据：聚焦专业能力与信用水平，贴合项目管理实际需求。</w:t>
      </w:r>
    </w:p>
    <w:p w14:paraId="1667A206">
      <w:pPr>
        <w:pStyle w:val="5"/>
        <w:bidi w:val="0"/>
      </w:pPr>
      <w:r>
        <w:rPr>
          <w:rFonts w:hint="eastAsia"/>
          <w:lang w:val="en-US" w:eastAsia="zh-CN"/>
        </w:rPr>
        <w:t>（四）</w:t>
      </w:r>
      <w:r>
        <w:t>新增代建单位禁入条款</w:t>
      </w:r>
    </w:p>
    <w:p w14:paraId="7BDE726F">
      <w:pPr>
        <w:bidi w:val="0"/>
      </w:pPr>
      <w:r>
        <w:rPr>
          <w:lang w:val="en-US" w:eastAsia="zh-CN"/>
        </w:rPr>
        <w:t>1.</w:t>
      </w:r>
      <w:r>
        <w:t>改动：新增第五条，明确6类不得承接代建业务的情形（停业、重大责任事故、不良记录、不正当手段获取资格等）。</w:t>
      </w:r>
    </w:p>
    <w:p w14:paraId="75E6E0B8">
      <w:pPr>
        <w:bidi w:val="0"/>
      </w:pPr>
      <w:r>
        <w:rPr>
          <w:lang w:val="en-US" w:eastAsia="zh-CN"/>
        </w:rPr>
        <w:t>2.</w:t>
      </w:r>
      <w:r>
        <w:t>依据：强化代建市场准入管理，筛选优质合规主体。</w:t>
      </w:r>
    </w:p>
    <w:p w14:paraId="233644A6">
      <w:pPr>
        <w:pStyle w:val="5"/>
        <w:bidi w:val="0"/>
      </w:pPr>
      <w:r>
        <w:rPr>
          <w:rFonts w:hint="eastAsia"/>
          <w:lang w:val="en-US" w:eastAsia="zh-CN"/>
        </w:rPr>
        <w:t>（五）维护市场公平竞争、鼓励</w:t>
      </w:r>
      <w:r>
        <w:t>联合体代建</w:t>
      </w:r>
    </w:p>
    <w:p w14:paraId="55E52E05">
      <w:pPr>
        <w:bidi w:val="0"/>
      </w:pPr>
      <w:r>
        <w:rPr>
          <w:lang w:val="en-US" w:eastAsia="zh-CN"/>
        </w:rPr>
        <w:t>1.</w:t>
      </w:r>
      <w:r>
        <w:t>改动：</w:t>
      </w: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1</w:t>
      </w:r>
      <w:r>
        <w:rPr>
          <w:rFonts w:hint="eastAsia"/>
          <w:lang w:eastAsia="zh-CN"/>
        </w:rPr>
        <w:t>）</w:t>
      </w:r>
      <w:r>
        <w:t>删除原</w:t>
      </w:r>
      <w:r>
        <w:rPr>
          <w:rFonts w:hint="eastAsia"/>
          <w:lang w:val="en-US" w:eastAsia="zh-CN"/>
        </w:rPr>
        <w:t>办法第五条</w:t>
      </w:r>
      <w:r>
        <w:t>“</w:t>
      </w:r>
      <w:r>
        <w:rPr>
          <w:spacing w:val="4"/>
        </w:rPr>
        <w:t>县本级政</w:t>
      </w:r>
      <w:r>
        <w:rPr>
          <w:spacing w:val="9"/>
        </w:rPr>
        <w:t>府直接投资建设的非经营性项目也可以通过邀请招标或直接委</w:t>
      </w:r>
      <w:r>
        <w:rPr>
          <w:spacing w:val="5"/>
        </w:rPr>
        <w:t>托方式确定代建单位</w:t>
      </w:r>
      <w:r>
        <w:t>”</w:t>
      </w:r>
      <w:r>
        <w:rPr>
          <w:rFonts w:hint="eastAsia"/>
          <w:lang w:val="en-US" w:eastAsia="zh-CN"/>
        </w:rPr>
        <w:t>表述</w:t>
      </w:r>
      <w:r>
        <w:rPr>
          <w:rFonts w:hint="eastAsia"/>
          <w:lang w:eastAsia="zh-CN"/>
        </w:rPr>
        <w:t>，</w:t>
      </w:r>
      <w:r>
        <w:rPr>
          <w:rFonts w:hint="eastAsia"/>
          <w:lang w:val="en-US" w:eastAsia="zh-CN"/>
        </w:rPr>
        <w:t>明确“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涉及国家安全、国家秘密、抢险救灾，或利用扶贫资金以工代赈等特殊代建项目，</w:t>
      </w:r>
      <w:r>
        <w:rPr>
          <w:rFonts w:hint="default" w:ascii="Times New Roman" w:hAnsi="Times New Roman" w:eastAsia="方正仿宋_GB2312" w:cs="Times New Roman"/>
          <w:color w:val="000000"/>
          <w:kern w:val="0"/>
          <w:sz w:val="32"/>
          <w:szCs w:val="32"/>
          <w:lang w:val="en-US" w:eastAsia="zh-CN" w:bidi="ar"/>
        </w:rPr>
        <w:t>经县政府批准后，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可直接委托符合条件的单位</w:t>
      </w:r>
      <w:r>
        <w:rPr>
          <w:rFonts w:hint="eastAsia"/>
          <w:lang w:val="en-US" w:eastAsia="zh-CN"/>
        </w:rPr>
        <w:t>”。（2）</w:t>
      </w:r>
      <w:r>
        <w:t>新增鼓励联合体参与代建，联合体共同签约、承担连带责任，明确合作方退出后的替换要求。</w:t>
      </w:r>
    </w:p>
    <w:p w14:paraId="4B3CF2B1">
      <w:pPr>
        <w:ind w:firstLine="616" w:firstLineChars="200"/>
      </w:pPr>
      <w:r>
        <w:rPr>
          <w:lang w:val="en-US" w:eastAsia="zh-CN"/>
        </w:rPr>
        <w:t>2.</w:t>
      </w:r>
      <w:r>
        <w:t>依据：</w:t>
      </w: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1</w:t>
      </w:r>
      <w:r>
        <w:rPr>
          <w:rFonts w:hint="eastAsia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根据《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中华人民共和国招标投标法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》第六十六条，此类情形因项目属性特殊，本身不具备市场化竞争的条件，直接委托是保障项目高效推进的必要方式。</w:t>
      </w: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2</w:t>
      </w:r>
      <w:r>
        <w:rPr>
          <w:rFonts w:hint="eastAsia"/>
          <w:lang w:eastAsia="zh-CN"/>
        </w:rPr>
        <w:t>）</w:t>
      </w:r>
      <w:r>
        <w:t>适配大型复杂项目代建需求，保障项目连续性。</w:t>
      </w:r>
    </w:p>
    <w:p w14:paraId="45914E79">
      <w:pPr>
        <w:pStyle w:val="5"/>
        <w:bidi w:val="0"/>
      </w:pPr>
      <w:r>
        <w:rPr>
          <w:rFonts w:hint="eastAsia"/>
          <w:lang w:val="en-US" w:eastAsia="zh-CN"/>
        </w:rPr>
        <w:t>（六）</w:t>
      </w:r>
      <w:r>
        <w:t>代建合同内容完善</w:t>
      </w:r>
    </w:p>
    <w:p w14:paraId="470AC3B7">
      <w:pPr>
        <w:bidi w:val="0"/>
      </w:pPr>
      <w:r>
        <w:rPr>
          <w:lang w:val="en-US" w:eastAsia="zh-CN"/>
        </w:rPr>
        <w:t>1.</w:t>
      </w:r>
      <w:r>
        <w:t>改动：合同新增奖惩机制、违约责任、争议解决方式，备案要求不变。</w:t>
      </w:r>
    </w:p>
    <w:p w14:paraId="051CB050">
      <w:pPr>
        <w:bidi w:val="0"/>
      </w:pPr>
      <w:r>
        <w:rPr>
          <w:lang w:val="en-US" w:eastAsia="zh-CN"/>
        </w:rPr>
        <w:t>2.</w:t>
      </w:r>
      <w:r>
        <w:t>依据：细化合同约束，明确权责纠纷处理路径。</w:t>
      </w:r>
    </w:p>
    <w:p w14:paraId="6014E19F">
      <w:pPr>
        <w:pStyle w:val="3"/>
        <w:bidi w:val="0"/>
      </w:pPr>
      <w:r>
        <w:t>二、职责与分工修订</w:t>
      </w:r>
    </w:p>
    <w:p w14:paraId="09DADCE6">
      <w:pPr>
        <w:pStyle w:val="5"/>
        <w:bidi w:val="0"/>
      </w:pPr>
      <w:r>
        <w:rPr>
          <w:rFonts w:hint="eastAsia"/>
          <w:lang w:val="en-US" w:eastAsia="zh-CN"/>
        </w:rPr>
        <w:t>（一）</w:t>
      </w:r>
      <w:r>
        <w:t>部门职责重新界定</w:t>
      </w:r>
    </w:p>
    <w:p w14:paraId="09495B9F">
      <w:pPr>
        <w:bidi w:val="0"/>
      </w:pPr>
      <w:r>
        <w:rPr>
          <w:lang w:val="en-US" w:eastAsia="zh-CN"/>
        </w:rPr>
        <w:t>1.</w:t>
      </w:r>
      <w:r>
        <w:t>改动：原办法由县发改委指导协调、县公管局管招标；修订版调整为各行业主管部门负责质量安全等行业监管，县发改委负责指导与招投标组织，县财政局管资金拨付、财政评审，县审计局负责审计监督。</w:t>
      </w:r>
    </w:p>
    <w:p w14:paraId="6F2BBA8B">
      <w:pPr>
        <w:bidi w:val="0"/>
      </w:pPr>
      <w:r>
        <w:rPr>
          <w:lang w:val="en-US" w:eastAsia="zh-CN"/>
        </w:rPr>
        <w:t>2.</w:t>
      </w:r>
      <w:r>
        <w:t>依据：理顺行业监管与综合管理分工，落实“</w:t>
      </w:r>
      <w:r>
        <w:rPr>
          <w:rFonts w:hint="eastAsia"/>
          <w:lang w:val="en-US" w:eastAsia="zh-CN"/>
        </w:rPr>
        <w:t>三管三必须</w:t>
      </w:r>
      <w:r>
        <w:t>”要求。</w:t>
      </w:r>
    </w:p>
    <w:p w14:paraId="36237D16">
      <w:pPr>
        <w:pStyle w:val="5"/>
        <w:bidi w:val="0"/>
      </w:pPr>
      <w:r>
        <w:rPr>
          <w:rFonts w:hint="eastAsia"/>
          <w:lang w:val="en-US" w:eastAsia="zh-CN"/>
        </w:rPr>
        <w:t>（二）</w:t>
      </w:r>
      <w:r>
        <w:t>代建单位职责细化</w:t>
      </w:r>
    </w:p>
    <w:p w14:paraId="702F22D9">
      <w:pPr>
        <w:bidi w:val="0"/>
      </w:pPr>
      <w:r>
        <w:rPr>
          <w:lang w:val="en-US" w:eastAsia="zh-CN"/>
        </w:rPr>
        <w:t>1.</w:t>
      </w:r>
      <w:r>
        <w:rPr>
          <w:rFonts w:hint="eastAsia"/>
          <w:lang w:val="en-US" w:eastAsia="zh-CN"/>
        </w:rPr>
        <w:t>改动：（1）</w:t>
      </w:r>
      <w:r>
        <w:t>前期代建新增依法组织勘察设计、监督勘察设计单位履约职责。</w:t>
      </w: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2</w:t>
      </w:r>
      <w:r>
        <w:rPr>
          <w:rFonts w:hint="eastAsia"/>
          <w:lang w:eastAsia="zh-CN"/>
        </w:rPr>
        <w:t>）</w:t>
      </w:r>
      <w:r>
        <w:t>建设实施代建：新增编报财政评审、</w:t>
      </w:r>
      <w:r>
        <w:rPr>
          <w:rFonts w:hint="eastAsia"/>
          <w:lang w:val="en-US" w:eastAsia="zh-CN"/>
        </w:rPr>
        <w:t>办理施工许可证、</w:t>
      </w:r>
      <w:r>
        <w:t>组织竣工初验、代编竣工财务决算、报批设计变更与概算调整等职责。</w:t>
      </w:r>
    </w:p>
    <w:p w14:paraId="032D7339">
      <w:pPr>
        <w:bidi w:val="0"/>
      </w:pPr>
      <w:r>
        <w:rPr>
          <w:rFonts w:hint="eastAsia"/>
          <w:lang w:val="en-US" w:eastAsia="zh-CN"/>
        </w:rPr>
        <w:t>2</w:t>
      </w:r>
      <w:r>
        <w:rPr>
          <w:lang w:val="en-US" w:eastAsia="zh-CN"/>
        </w:rPr>
        <w:t>.</w:t>
      </w:r>
      <w:r>
        <w:t>依据：补齐全流程管理短板，明确代建单位核心履职事项。</w:t>
      </w:r>
    </w:p>
    <w:p w14:paraId="67FCEADE">
      <w:pPr>
        <w:pStyle w:val="5"/>
        <w:bidi w:val="0"/>
        <w:rPr>
          <w:rFonts w:hint="eastAsia" w:ascii="Times New Roman" w:hAnsi="Times New Roman" w:cs="Times New Roman"/>
          <w:lang w:val="en-US" w:eastAsia="zh-CN"/>
        </w:rPr>
      </w:pPr>
      <w:r>
        <w:rPr>
          <w:rFonts w:hint="eastAsia" w:ascii="Times New Roman" w:hAnsi="Times New Roman" w:cs="Times New Roman"/>
          <w:lang w:val="en-US" w:eastAsia="zh-CN"/>
        </w:rPr>
        <w:t>（三）责任范围扩充</w:t>
      </w:r>
    </w:p>
    <w:p w14:paraId="419319EE">
      <w:pPr>
        <w:bidi w:val="0"/>
      </w:pPr>
      <w:r>
        <w:rPr>
          <w:lang w:val="en-US" w:eastAsia="zh-CN"/>
        </w:rPr>
        <w:t>1.</w:t>
      </w:r>
      <w:r>
        <w:t>改动：原办法代建单位对工期、资金、质量负全面责任；修订版增加投资控制、安全生产，强化质量终身责任。</w:t>
      </w:r>
    </w:p>
    <w:p w14:paraId="1FCD5104">
      <w:pPr>
        <w:bidi w:val="0"/>
      </w:pPr>
      <w:r>
        <w:rPr>
          <w:lang w:val="en-US" w:eastAsia="zh-CN"/>
        </w:rPr>
        <w:t>2.</w:t>
      </w:r>
      <w:r>
        <w:t>依据：压实代建单位全方位管控责任。</w:t>
      </w:r>
    </w:p>
    <w:p w14:paraId="0A062835">
      <w:pPr>
        <w:pStyle w:val="3"/>
        <w:bidi w:val="0"/>
      </w:pPr>
      <w:r>
        <w:t>三、组织实施修订</w:t>
      </w:r>
    </w:p>
    <w:p w14:paraId="02BDB6B0">
      <w:pPr>
        <w:pStyle w:val="5"/>
        <w:bidi w:val="0"/>
        <w:rPr>
          <w:rFonts w:hint="eastAsia" w:ascii="Times New Roman" w:hAnsi="Times New Roman" w:cs="Times New Roman"/>
          <w:lang w:val="en-US" w:eastAsia="zh-CN"/>
        </w:rPr>
      </w:pPr>
      <w:r>
        <w:rPr>
          <w:rFonts w:hint="eastAsia" w:ascii="Times New Roman" w:hAnsi="Times New Roman" w:cs="Times New Roman"/>
          <w:lang w:val="en-US" w:eastAsia="zh-CN"/>
        </w:rPr>
        <w:t>（一）审批依据更新</w:t>
      </w:r>
    </w:p>
    <w:p w14:paraId="63C13A54">
      <w:pPr>
        <w:bidi w:val="0"/>
      </w:pPr>
      <w:r>
        <w:rPr>
          <w:lang w:val="en-US" w:eastAsia="zh-CN"/>
        </w:rPr>
        <w:t>1.</w:t>
      </w:r>
      <w:r>
        <w:t>改动：项目审批依据由原《东至县政府投资项目管理办法（修订）》调整为《东至县政府投资项目管理办法（2024年修订）》。</w:t>
      </w:r>
    </w:p>
    <w:p w14:paraId="09433B6C">
      <w:pPr>
        <w:bidi w:val="0"/>
      </w:pPr>
      <w:r>
        <w:rPr>
          <w:lang w:val="en-US" w:eastAsia="zh-CN"/>
        </w:rPr>
        <w:t>2.</w:t>
      </w:r>
      <w:r>
        <w:t>依据：衔接我县最新政府投资项目管理规定。</w:t>
      </w:r>
    </w:p>
    <w:p w14:paraId="69CB732B">
      <w:pPr>
        <w:pStyle w:val="5"/>
        <w:bidi w:val="0"/>
        <w:rPr>
          <w:rFonts w:hint="eastAsia" w:ascii="Times New Roman" w:hAnsi="Times New Roman" w:cs="Times New Roman"/>
          <w:lang w:val="en-US" w:eastAsia="zh-CN"/>
        </w:rPr>
      </w:pPr>
      <w:r>
        <w:rPr>
          <w:rFonts w:hint="eastAsia" w:ascii="Times New Roman" w:hAnsi="Times New Roman" w:cs="Times New Roman"/>
          <w:lang w:val="en-US" w:eastAsia="zh-CN"/>
        </w:rPr>
        <w:t>（二）造价控制升级</w:t>
      </w:r>
    </w:p>
    <w:p w14:paraId="25D0D27A">
      <w:pPr>
        <w:bidi w:val="0"/>
      </w:pPr>
      <w:r>
        <w:rPr>
          <w:lang w:val="en-US" w:eastAsia="zh-CN"/>
        </w:rPr>
        <w:t>1.</w:t>
      </w:r>
      <w:r>
        <w:t>改动：明确“</w:t>
      </w:r>
      <w:r>
        <w:rPr>
          <w:rFonts w:hint="default" w:ascii="Times New Roman" w:hAnsi="Times New Roman" w:eastAsia="方正仿宋_GB2312" w:cs="Times New Roman"/>
          <w:color w:val="000000"/>
          <w:kern w:val="0"/>
          <w:sz w:val="32"/>
          <w:szCs w:val="32"/>
          <w:lang w:val="en-US" w:eastAsia="zh-CN" w:bidi="ar"/>
        </w:rPr>
        <w:t>投资估算控制设计概算、设计概算控制施工图预算、施工图预算控制工程结算</w:t>
      </w:r>
      <w:r>
        <w:t>”三级造价控制，以批复设计概算为最高限额。</w:t>
      </w:r>
    </w:p>
    <w:p w14:paraId="6A352003">
      <w:pPr>
        <w:bidi w:val="0"/>
      </w:pPr>
      <w:r>
        <w:rPr>
          <w:lang w:val="en-US" w:eastAsia="zh-CN"/>
        </w:rPr>
        <w:t>2.</w:t>
      </w:r>
      <w:r>
        <w:t>依据：严格投资管控，防止超概算、超标准建设。</w:t>
      </w:r>
    </w:p>
    <w:p w14:paraId="750410ED">
      <w:pPr>
        <w:pStyle w:val="5"/>
        <w:bidi w:val="0"/>
        <w:rPr>
          <w:rFonts w:hint="eastAsia" w:ascii="Times New Roman" w:hAnsi="Times New Roman" w:cs="Times New Roman"/>
          <w:lang w:val="en-US" w:eastAsia="zh-CN"/>
        </w:rPr>
      </w:pPr>
      <w:r>
        <w:rPr>
          <w:rFonts w:hint="eastAsia" w:ascii="Times New Roman" w:hAnsi="Times New Roman" w:cs="Times New Roman"/>
          <w:lang w:val="en-US" w:eastAsia="zh-CN"/>
        </w:rPr>
        <w:t>（三）履约担保调整</w:t>
      </w:r>
    </w:p>
    <w:p w14:paraId="433C4292">
      <w:pPr>
        <w:bidi w:val="0"/>
      </w:pPr>
      <w:r>
        <w:rPr>
          <w:lang w:val="en-US" w:eastAsia="zh-CN"/>
        </w:rPr>
        <w:t>1.</w:t>
      </w:r>
      <w:r>
        <w:t>改动：原“银行履约保函（不超概算5%）”修改为缴纳履约保证金（不超</w:t>
      </w:r>
      <w:r>
        <w:rPr>
          <w:rFonts w:hint="eastAsia"/>
          <w:lang w:val="en-US" w:eastAsia="zh-CN"/>
        </w:rPr>
        <w:t>中标合同金额</w:t>
      </w:r>
      <w:r>
        <w:t>10%）。</w:t>
      </w:r>
    </w:p>
    <w:p w14:paraId="2C9261E2">
      <w:pPr>
        <w:bidi w:val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2.依据：《中华人民共和国招标投标法实施条例》第五十八条 “履约保证金不得超过中标合同金额的 10%”，强化代建单位履约约束</w:t>
      </w:r>
    </w:p>
    <w:p w14:paraId="5C25BBF2">
      <w:pPr>
        <w:pStyle w:val="5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（四）档案移交完善。</w:t>
      </w:r>
    </w:p>
    <w:p w14:paraId="4A3D0DE8">
      <w:pPr>
        <w:bidi w:val="0"/>
      </w:pPr>
      <w:r>
        <w:rPr>
          <w:lang w:val="en-US" w:eastAsia="zh-CN"/>
        </w:rPr>
        <w:t>1.</w:t>
      </w:r>
      <w:r>
        <w:t>改动：移交资料新增财务档案。</w:t>
      </w:r>
    </w:p>
    <w:p w14:paraId="214EFEBA">
      <w:pPr>
        <w:bidi w:val="0"/>
      </w:pPr>
      <w:r>
        <w:rPr>
          <w:lang w:val="en-US" w:eastAsia="zh-CN"/>
        </w:rPr>
        <w:t>2.</w:t>
      </w:r>
      <w:r>
        <w:t>依据：规范资产与档案全链条管理。</w:t>
      </w:r>
    </w:p>
    <w:p w14:paraId="3B63E7EA">
      <w:pPr>
        <w:pStyle w:val="5"/>
        <w:bidi w:val="0"/>
        <w:rPr>
          <w:rFonts w:hint="eastAsia" w:ascii="Times New Roman" w:hAnsi="Times New Roman" w:cs="Times New Roman"/>
          <w:lang w:val="en-US" w:eastAsia="zh-CN"/>
        </w:rPr>
      </w:pPr>
      <w:r>
        <w:rPr>
          <w:rFonts w:hint="eastAsia" w:ascii="Times New Roman" w:hAnsi="Times New Roman" w:cs="Times New Roman"/>
          <w:lang w:val="en-US" w:eastAsia="zh-CN"/>
        </w:rPr>
        <w:t>（五）竣工决算时限细化</w:t>
      </w:r>
    </w:p>
    <w:p w14:paraId="7CC1BDFD">
      <w:pPr>
        <w:bidi w:val="0"/>
      </w:pPr>
      <w:r>
        <w:rPr>
          <w:lang w:val="en-US" w:eastAsia="zh-CN"/>
        </w:rPr>
        <w:t>1.</w:t>
      </w:r>
      <w:r>
        <w:t>改动：一般项目竣工后3个月内完成决算；大型项目不超过6个月，延期需报批；决算以审计结论作为资金拨付、资产入账依据。</w:t>
      </w:r>
    </w:p>
    <w:p w14:paraId="503CEF1B">
      <w:pPr>
        <w:bidi w:val="0"/>
      </w:pPr>
      <w:r>
        <w:rPr>
          <w:lang w:val="en-US" w:eastAsia="zh-CN"/>
        </w:rPr>
        <w:t>2.</w:t>
      </w:r>
      <w:r>
        <w:t>依据：加快决算办理，明确最终结算依据。</w:t>
      </w:r>
    </w:p>
    <w:p w14:paraId="63AB4F94">
      <w:pPr>
        <w:pStyle w:val="5"/>
        <w:bidi w:val="0"/>
        <w:rPr>
          <w:rFonts w:hint="eastAsia" w:ascii="Times New Roman" w:hAnsi="Times New Roman" w:cs="Times New Roman"/>
          <w:lang w:val="en-US" w:eastAsia="zh-CN"/>
        </w:rPr>
      </w:pPr>
      <w:r>
        <w:rPr>
          <w:rFonts w:hint="eastAsia" w:ascii="Times New Roman" w:hAnsi="Times New Roman" w:cs="Times New Roman"/>
          <w:lang w:val="en-US" w:eastAsia="zh-CN"/>
        </w:rPr>
        <w:t>（六）保修责任明确</w:t>
      </w:r>
    </w:p>
    <w:p w14:paraId="192143AE">
      <w:pPr>
        <w:bidi w:val="0"/>
      </w:pPr>
      <w:r>
        <w:rPr>
          <w:lang w:val="en-US" w:eastAsia="zh-CN"/>
        </w:rPr>
        <w:t>1.</w:t>
      </w:r>
      <w:r>
        <w:t>改动：新增保修期内代建单位负责质量缺陷消除，保修期后委托单位负责维护。</w:t>
      </w:r>
    </w:p>
    <w:p w14:paraId="64AC1D57">
      <w:pPr>
        <w:bidi w:val="0"/>
      </w:pPr>
      <w:r>
        <w:rPr>
          <w:lang w:val="en-US" w:eastAsia="zh-CN"/>
        </w:rPr>
        <w:t>2.</w:t>
      </w:r>
      <w:r>
        <w:t>依据：厘清工程维保阶段权责。</w:t>
      </w:r>
    </w:p>
    <w:p w14:paraId="455100B7">
      <w:pPr>
        <w:pStyle w:val="3"/>
        <w:bidi w:val="0"/>
      </w:pPr>
      <w:r>
        <w:t>四、资金管理修订</w:t>
      </w:r>
    </w:p>
    <w:p w14:paraId="62D034B7">
      <w:pPr>
        <w:pStyle w:val="5"/>
        <w:bidi w:val="0"/>
        <w:rPr>
          <w:lang w:val="en-US" w:eastAsia="zh-CN"/>
        </w:rPr>
      </w:pPr>
      <w:r>
        <w:rPr>
          <w:rFonts w:hint="eastAsia"/>
          <w:lang w:val="en-US" w:eastAsia="zh-CN"/>
        </w:rPr>
        <w:t>（一）</w:t>
      </w:r>
      <w:r>
        <w:rPr>
          <w:lang w:val="en-US" w:eastAsia="zh-CN"/>
        </w:rPr>
        <w:t>资金管理强化</w:t>
      </w:r>
    </w:p>
    <w:p w14:paraId="5441DD86">
      <w:pPr>
        <w:bidi w:val="0"/>
      </w:pPr>
      <w:r>
        <w:rPr>
          <w:lang w:val="en-US" w:eastAsia="zh-CN"/>
        </w:rPr>
        <w:t>1.</w:t>
      </w:r>
      <w:r>
        <w:t>改动：新增专账核算、专款专用，禁止截留、挪用。</w:t>
      </w:r>
    </w:p>
    <w:p w14:paraId="4790B9EC">
      <w:pPr>
        <w:bidi w:val="0"/>
      </w:pPr>
      <w:r>
        <w:rPr>
          <w:lang w:val="en-US" w:eastAsia="zh-CN"/>
        </w:rPr>
        <w:t>2.</w:t>
      </w:r>
      <w:r>
        <w:t>依据：加强财政资金监管，保障资金安全。</w:t>
      </w:r>
    </w:p>
    <w:p w14:paraId="37F00598">
      <w:pPr>
        <w:pStyle w:val="5"/>
        <w:bidi w:val="0"/>
        <w:rPr>
          <w:lang w:val="en-US" w:eastAsia="zh-CN"/>
        </w:rPr>
      </w:pPr>
      <w:r>
        <w:rPr>
          <w:rFonts w:hint="eastAsia"/>
          <w:lang w:val="en-US" w:eastAsia="zh-CN"/>
        </w:rPr>
        <w:t>（二）</w:t>
      </w:r>
      <w:r>
        <w:rPr>
          <w:lang w:val="en-US" w:eastAsia="zh-CN"/>
        </w:rPr>
        <w:t>管理费列支规则明确</w:t>
      </w:r>
    </w:p>
    <w:p w14:paraId="0ECA5179">
      <w:pPr>
        <w:bidi w:val="0"/>
        <w:rPr>
          <w:rFonts w:hint="eastAsia" w:eastAsia="仿宋_GB2312"/>
          <w:lang w:eastAsia="zh-CN"/>
        </w:rPr>
      </w:pPr>
      <w:r>
        <w:rPr>
          <w:lang w:val="en-US" w:eastAsia="zh-CN"/>
        </w:rPr>
        <w:t>1.</w:t>
      </w:r>
      <w:r>
        <w:t>改动：全过程代建不得同时列支代建管理费与项目建设管理费；分阶段代建经批准可同时列支，但总额不超财建〔2016〕504号规定限额</w:t>
      </w:r>
      <w:r>
        <w:rPr>
          <w:rFonts w:hint="eastAsia"/>
          <w:lang w:eastAsia="zh-CN"/>
        </w:rPr>
        <w:t>；删除原代建管理费预留10%的规定，简化支付流程。</w:t>
      </w:r>
    </w:p>
    <w:p w14:paraId="2482D3BC">
      <w:pPr>
        <w:bidi w:val="0"/>
        <w:rPr>
          <w:lang w:val="en-US" w:eastAsia="zh-CN"/>
        </w:rPr>
      </w:pPr>
      <w:r>
        <w:rPr>
          <w:lang w:val="en-US" w:eastAsia="zh-CN"/>
        </w:rPr>
        <w:t>2.</w:t>
      </w:r>
      <w:r>
        <w:t>依据：执行国家基</w:t>
      </w:r>
      <w:r>
        <w:rPr>
          <w:lang w:val="en-US" w:eastAsia="zh-CN"/>
        </w:rPr>
        <w:t>本建设项目成本管理规定，杜绝重复计费</w:t>
      </w:r>
      <w:r>
        <w:rPr>
          <w:rFonts w:hint="eastAsia"/>
          <w:lang w:val="en-US" w:eastAsia="zh-CN"/>
        </w:rPr>
        <w:t>，提高代建单位积极性。</w:t>
      </w:r>
    </w:p>
    <w:p w14:paraId="31F64000">
      <w:pPr>
        <w:pStyle w:val="5"/>
        <w:bidi w:val="0"/>
        <w:rPr>
          <w:lang w:val="en-US" w:eastAsia="zh-CN"/>
        </w:rPr>
      </w:pPr>
      <w:r>
        <w:rPr>
          <w:rFonts w:hint="eastAsia"/>
          <w:lang w:val="en-US" w:eastAsia="zh-CN"/>
        </w:rPr>
        <w:t>（三）</w:t>
      </w:r>
      <w:r>
        <w:rPr>
          <w:lang w:val="en-US" w:eastAsia="zh-CN"/>
        </w:rPr>
        <w:t>报告要求补充</w:t>
      </w:r>
    </w:p>
    <w:p w14:paraId="072EA53A">
      <w:pPr>
        <w:bidi w:val="0"/>
      </w:pPr>
      <w:r>
        <w:rPr>
          <w:lang w:val="en-US" w:eastAsia="zh-CN"/>
        </w:rPr>
        <w:t>1.</w:t>
      </w:r>
      <w:r>
        <w:t>改动：</w:t>
      </w:r>
      <w:r>
        <w:rPr>
          <w:rFonts w:hint="eastAsia"/>
          <w:lang w:val="en-US" w:eastAsia="zh-CN"/>
        </w:rPr>
        <w:t>新增</w:t>
      </w:r>
      <w:bookmarkStart w:id="0" w:name="_GoBack"/>
      <w:bookmarkEnd w:id="0"/>
      <w:r>
        <w:t>重大情况及时报送，竣工验收后报送代建工作总结。</w:t>
      </w:r>
    </w:p>
    <w:p w14:paraId="24CF75CB">
      <w:pPr>
        <w:bidi w:val="0"/>
      </w:pPr>
      <w:r>
        <w:rPr>
          <w:lang w:val="en-US" w:eastAsia="zh-CN"/>
        </w:rPr>
        <w:t>2.</w:t>
      </w:r>
      <w:r>
        <w:t>依据：强化项目动态监管。</w:t>
      </w:r>
    </w:p>
    <w:p w14:paraId="6CA30A0D">
      <w:pPr>
        <w:pStyle w:val="3"/>
        <w:bidi w:val="0"/>
      </w:pPr>
      <w:r>
        <w:t>五、监督管理修订</w:t>
      </w:r>
    </w:p>
    <w:p w14:paraId="2ABC9DE4">
      <w:pPr>
        <w:pStyle w:val="5"/>
        <w:bidi w:val="0"/>
      </w:pPr>
      <w:r>
        <w:rPr>
          <w:rFonts w:hint="eastAsia"/>
          <w:lang w:val="en-US" w:eastAsia="zh-CN"/>
        </w:rPr>
        <w:t>（一）监管主体与内容细化</w:t>
      </w:r>
    </w:p>
    <w:p w14:paraId="7D29CCE3">
      <w:pPr>
        <w:bidi w:val="0"/>
      </w:pPr>
      <w:r>
        <w:rPr>
          <w:lang w:val="en-US" w:eastAsia="zh-CN"/>
        </w:rPr>
        <w:t>1.</w:t>
      </w:r>
      <w:r>
        <w:t>改动：明确县财政局、审计局对资金使用、财务收支全过程监督审计，代建单位与委托单位需配合。</w:t>
      </w:r>
    </w:p>
    <w:p w14:paraId="2A32DF61">
      <w:pPr>
        <w:bidi w:val="0"/>
      </w:pPr>
      <w:r>
        <w:rPr>
          <w:lang w:val="en-US" w:eastAsia="zh-CN"/>
        </w:rPr>
        <w:t>2.</w:t>
      </w:r>
      <w:r>
        <w:t>依据：强化财政、审计</w:t>
      </w:r>
      <w:r>
        <w:rPr>
          <w:rFonts w:hint="eastAsia"/>
          <w:lang w:eastAsia="zh-CN"/>
        </w:rPr>
        <w:t>全过程监督</w:t>
      </w:r>
      <w:r>
        <w:t>。</w:t>
      </w:r>
    </w:p>
    <w:p w14:paraId="10B60A28">
      <w:pPr>
        <w:pStyle w:val="5"/>
        <w:bidi w:val="0"/>
        <w:rPr>
          <w:rFonts w:hint="eastAsia" w:ascii="Times New Roman" w:hAnsi="Times New Roman" w:cs="Times New Roman"/>
          <w:lang w:val="en-US" w:eastAsia="zh-CN"/>
        </w:rPr>
      </w:pPr>
      <w:r>
        <w:rPr>
          <w:rFonts w:hint="eastAsia" w:ascii="Times New Roman" w:hAnsi="Times New Roman" w:cs="Times New Roman"/>
          <w:lang w:val="en-US" w:eastAsia="zh-CN"/>
        </w:rPr>
        <w:t>（二）代建单位违规情形扩充</w:t>
      </w:r>
    </w:p>
    <w:p w14:paraId="1C01FD1D">
      <w:pPr>
        <w:bidi w:val="0"/>
      </w:pPr>
      <w:r>
        <w:rPr>
          <w:lang w:val="en-US" w:eastAsia="zh-CN"/>
        </w:rPr>
        <w:t>1.</w:t>
      </w:r>
      <w:r>
        <w:t>改动：原4类违规情形增至10类，新增擅自变更规模标准、超概算、转包分包、虚假资料、工期延误、拒不配合监管等情形。</w:t>
      </w:r>
    </w:p>
    <w:p w14:paraId="42874A6D">
      <w:pPr>
        <w:bidi w:val="0"/>
      </w:pPr>
      <w:r>
        <w:rPr>
          <w:lang w:val="en-US" w:eastAsia="zh-CN"/>
        </w:rPr>
        <w:t>2.</w:t>
      </w:r>
      <w:r>
        <w:t>依据：全覆盖管控违规行为，加大惩戒力度。</w:t>
      </w:r>
    </w:p>
    <w:p w14:paraId="745122B7">
      <w:pPr>
        <w:pStyle w:val="5"/>
        <w:bidi w:val="0"/>
        <w:rPr>
          <w:rFonts w:hint="eastAsia" w:ascii="Times New Roman" w:hAnsi="Times New Roman" w:cs="Times New Roman"/>
          <w:lang w:val="en-US" w:eastAsia="zh-CN"/>
        </w:rPr>
      </w:pPr>
      <w:r>
        <w:rPr>
          <w:rFonts w:hint="eastAsia" w:ascii="Times New Roman" w:hAnsi="Times New Roman" w:cs="Times New Roman"/>
          <w:lang w:val="en-US" w:eastAsia="zh-CN"/>
        </w:rPr>
        <w:t>（三）委托单位违规情形扩充</w:t>
      </w:r>
    </w:p>
    <w:p w14:paraId="3B1F52DD">
      <w:pPr>
        <w:bidi w:val="0"/>
      </w:pPr>
      <w:r>
        <w:rPr>
          <w:lang w:val="en-US" w:eastAsia="zh-CN"/>
        </w:rPr>
        <w:t>1.</w:t>
      </w:r>
      <w:r>
        <w:t>改动：原</w:t>
      </w:r>
      <w:r>
        <w:rPr>
          <w:rFonts w:hint="eastAsia"/>
          <w:lang w:val="en-US" w:eastAsia="zh-CN"/>
        </w:rPr>
        <w:t>3</w:t>
      </w:r>
      <w:r>
        <w:t>类违规情形增至6类，新增擅自组织建设、干涉招投标、越权干预导致项目问题等。</w:t>
      </w:r>
    </w:p>
    <w:p w14:paraId="24F1407A">
      <w:pPr>
        <w:bidi w:val="0"/>
      </w:pPr>
      <w:r>
        <w:rPr>
          <w:lang w:val="en-US" w:eastAsia="zh-CN"/>
        </w:rPr>
        <w:t>2.</w:t>
      </w:r>
      <w:r>
        <w:t>依据：约束委托单位行为，防止越权履职。</w:t>
      </w:r>
    </w:p>
    <w:p w14:paraId="6F27FB32">
      <w:pPr>
        <w:pStyle w:val="5"/>
        <w:bidi w:val="0"/>
        <w:rPr>
          <w:rFonts w:hint="eastAsia" w:ascii="Times New Roman" w:hAnsi="Times New Roman" w:cs="Times New Roman"/>
          <w:lang w:val="en-US" w:eastAsia="zh-CN"/>
        </w:rPr>
      </w:pPr>
      <w:r>
        <w:rPr>
          <w:rFonts w:hint="eastAsia" w:ascii="Times New Roman" w:hAnsi="Times New Roman" w:cs="Times New Roman"/>
          <w:lang w:val="en-US" w:eastAsia="zh-CN"/>
        </w:rPr>
        <w:t>（四）追责层级提升</w:t>
      </w:r>
    </w:p>
    <w:p w14:paraId="775E22D7">
      <w:pPr>
        <w:bidi w:val="0"/>
      </w:pPr>
      <w:r>
        <w:rPr>
          <w:lang w:val="en-US" w:eastAsia="zh-CN"/>
        </w:rPr>
        <w:t>1.</w:t>
      </w:r>
      <w:r>
        <w:t>改动：明确行政主管部门工作人员违法构成犯罪的，依法追究刑事责任。</w:t>
      </w:r>
    </w:p>
    <w:p w14:paraId="0B7515C0">
      <w:pPr>
        <w:bidi w:val="0"/>
      </w:pPr>
      <w:r>
        <w:rPr>
          <w:lang w:val="en-US" w:eastAsia="zh-CN"/>
        </w:rPr>
        <w:t>2.</w:t>
      </w:r>
      <w:r>
        <w:t>依据：衔接法律法规，强化廉政追责。</w:t>
      </w:r>
    </w:p>
    <w:p w14:paraId="3E67F436">
      <w:pPr>
        <w:pStyle w:val="3"/>
        <w:bidi w:val="0"/>
      </w:pPr>
      <w:r>
        <w:t>六、附则修订</w:t>
      </w:r>
    </w:p>
    <w:p w14:paraId="19DC1342">
      <w:pPr>
        <w:pStyle w:val="5"/>
        <w:bidi w:val="0"/>
      </w:pPr>
      <w:r>
        <w:rPr>
          <w:rFonts w:hint="eastAsia"/>
          <w:lang w:val="en-US" w:eastAsia="zh-CN"/>
        </w:rPr>
        <w:t>（一）</w:t>
      </w:r>
      <w:r>
        <w:t>解释主体调整</w:t>
      </w:r>
    </w:p>
    <w:p w14:paraId="754B5A18">
      <w:pPr>
        <w:bidi w:val="0"/>
      </w:pPr>
      <w:r>
        <w:rPr>
          <w:lang w:val="en-US" w:eastAsia="zh-CN"/>
        </w:rPr>
        <w:t>1.</w:t>
      </w:r>
      <w:r>
        <w:t>改动：原由县发改委单独解释，修订为县发改委会同县财政局共同解释。</w:t>
      </w:r>
    </w:p>
    <w:p w14:paraId="65DBD1DC">
      <w:pPr>
        <w:bidi w:val="0"/>
      </w:pPr>
      <w:r>
        <w:rPr>
          <w:lang w:val="en-US" w:eastAsia="zh-CN"/>
        </w:rPr>
        <w:t>2.</w:t>
      </w:r>
      <w:r>
        <w:t>依据：匹配资金管理与代建管理协同职责。</w:t>
      </w:r>
    </w:p>
    <w:p w14:paraId="29AEF0AC">
      <w:pPr>
        <w:pStyle w:val="5"/>
        <w:bidi w:val="0"/>
      </w:pPr>
      <w:r>
        <w:rPr>
          <w:rFonts w:hint="eastAsia"/>
          <w:lang w:val="en-US" w:eastAsia="zh-CN"/>
        </w:rPr>
        <w:t>（二）</w:t>
      </w:r>
      <w:r>
        <w:t>废止旧版文件</w:t>
      </w:r>
    </w:p>
    <w:p w14:paraId="09E66521">
      <w:pPr>
        <w:bidi w:val="0"/>
      </w:pPr>
      <w:r>
        <w:rPr>
          <w:lang w:val="en-US" w:eastAsia="zh-CN"/>
        </w:rPr>
        <w:t>1.</w:t>
      </w:r>
      <w:r>
        <w:t>改动：明确2021年版东政办秘〔2021〕95号文件同时废止，明确上位政策优先适用。</w:t>
      </w:r>
    </w:p>
    <w:p w14:paraId="10DAA7BD">
      <w:pPr>
        <w:bidi w:val="0"/>
      </w:pPr>
      <w:r>
        <w:rPr>
          <w:lang w:val="en-US" w:eastAsia="zh-CN"/>
        </w:rPr>
        <w:t>2.</w:t>
      </w:r>
      <w:r>
        <w:t>依据：确保政策唯一性与时效性。</w:t>
      </w:r>
    </w:p>
    <w:p w14:paraId="1A7DB313">
      <w:pPr>
        <w:pStyle w:val="3"/>
        <w:bidi w:val="0"/>
      </w:pPr>
      <w:r>
        <w:t>七、修订总体特点</w:t>
      </w:r>
    </w:p>
    <w:p w14:paraId="4B7E563F">
      <w:pPr>
        <w:bidi w:val="0"/>
      </w:pPr>
      <w:r>
        <w:rPr>
          <w:b/>
          <w:bCs/>
          <w:lang w:val="en-US" w:eastAsia="zh-CN"/>
        </w:rPr>
        <w:t>1.</w:t>
      </w:r>
      <w:r>
        <w:rPr>
          <w:b/>
          <w:bCs/>
        </w:rPr>
        <w:t>合规性更强：</w:t>
      </w:r>
      <w:r>
        <w:t>全面对接国家、省、县现行法规政策，消除政策冲突。</w:t>
      </w:r>
    </w:p>
    <w:p w14:paraId="648D666E">
      <w:pPr>
        <w:bidi w:val="0"/>
      </w:pPr>
      <w:r>
        <w:rPr>
          <w:b/>
          <w:bCs/>
          <w:lang w:val="en-US" w:eastAsia="zh-CN"/>
        </w:rPr>
        <w:t>2.</w:t>
      </w:r>
      <w:r>
        <w:rPr>
          <w:b/>
          <w:bCs/>
        </w:rPr>
        <w:t>权责更清晰：</w:t>
      </w:r>
      <w:r>
        <w:t>厘清部门、委托单位、代建单位三方职责，避免推诿扯皮。</w:t>
      </w:r>
    </w:p>
    <w:p w14:paraId="70114D9F">
      <w:pPr>
        <w:bidi w:val="0"/>
      </w:pPr>
      <w:r>
        <w:rPr>
          <w:b/>
          <w:bCs/>
          <w:lang w:val="en-US" w:eastAsia="zh-CN"/>
        </w:rPr>
        <w:t>3.</w:t>
      </w:r>
      <w:r>
        <w:rPr>
          <w:b/>
          <w:bCs/>
        </w:rPr>
        <w:t>管控更严格：</w:t>
      </w:r>
      <w:r>
        <w:t>强化投资、质量、安全、资金全流程管控，细化违约追责。</w:t>
      </w:r>
    </w:p>
    <w:p w14:paraId="310EBEA8">
      <w:pPr>
        <w:bidi w:val="0"/>
      </w:pPr>
      <w:r>
        <w:rPr>
          <w:b/>
          <w:bCs/>
          <w:lang w:val="en-US" w:eastAsia="zh-CN"/>
        </w:rPr>
        <w:t>4.</w:t>
      </w:r>
      <w:r>
        <w:rPr>
          <w:b/>
          <w:bCs/>
        </w:rPr>
        <w:t>实操更顺畅：</w:t>
      </w:r>
      <w:r>
        <w:t>优化审批、变更、决算、移交等流程，贴合项目运行实际。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16"/>
      </w:pPr>
      <w:r>
        <w:separator/>
      </w:r>
    </w:p>
  </w:endnote>
  <w:endnote w:type="continuationSeparator" w:id="1">
    <w:p>
      <w:pPr>
        <w:spacing w:line="240" w:lineRule="auto"/>
        <w:ind w:firstLine="616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1" w:fontKey="{0DA06119-BC0C-4635-A7FD-0B914861AC6C}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27118E93-4120-4A1F-AE7E-B57848B269A6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16"/>
      </w:pPr>
      <w:r>
        <w:separator/>
      </w:r>
    </w:p>
  </w:footnote>
  <w:footnote w:type="continuationSeparator" w:id="1">
    <w:p>
      <w:pPr>
        <w:spacing w:line="240" w:lineRule="auto"/>
        <w:ind w:firstLine="616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4FD899A"/>
    <w:multiLevelType w:val="multilevel"/>
    <w:tmpl w:val="54FD899A"/>
    <w:lvl w:ilvl="0" w:tentative="0">
      <w:start w:val="1"/>
      <w:numFmt w:val="chineseCounting"/>
      <w:suff w:val="nothing"/>
      <w:lvlText w:val="%1、"/>
      <w:lvlJc w:val="left"/>
      <w:pPr>
        <w:tabs>
          <w:tab w:val="left" w:pos="0"/>
        </w:tabs>
        <w:ind w:left="0" w:firstLine="0"/>
      </w:pPr>
      <w:rPr>
        <w:rFonts w:hint="eastAsia" w:eastAsia="黑体"/>
        <w:sz w:val="32"/>
        <w:szCs w:val="32"/>
      </w:rPr>
    </w:lvl>
    <w:lvl w:ilvl="1" w:tentative="0">
      <w:start w:val="1"/>
      <w:numFmt w:val="chineseCounting"/>
      <w:suff w:val="nothing"/>
      <w:lvlText w:val="（%2）"/>
      <w:lvlJc w:val="left"/>
      <w:pPr>
        <w:tabs>
          <w:tab w:val="left" w:pos="0"/>
        </w:tabs>
        <w:ind w:left="0" w:firstLine="0"/>
      </w:pPr>
      <w:rPr>
        <w:rFonts w:hint="eastAsia" w:eastAsia="楷体"/>
        <w:sz w:val="32"/>
        <w:szCs w:val="32"/>
      </w:rPr>
    </w:lvl>
    <w:lvl w:ilvl="2" w:tentative="0">
      <w:start w:val="1"/>
      <w:numFmt w:val="decimal"/>
      <w:suff w:val="nothing"/>
      <w:lvlText w:val="%3．"/>
      <w:lvlJc w:val="left"/>
      <w:pPr>
        <w:tabs>
          <w:tab w:val="left" w:pos="0"/>
        </w:tabs>
        <w:ind w:left="0" w:firstLine="400"/>
      </w:pPr>
      <w:rPr>
        <w:rFonts w:hint="eastAsia"/>
        <w:sz w:val="32"/>
        <w:szCs w:val="32"/>
      </w:rPr>
    </w:lvl>
    <w:lvl w:ilvl="3" w:tentative="0">
      <w:start w:val="1"/>
      <w:numFmt w:val="decimal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pStyle w:val="7"/>
      <w:suff w:val="nothing"/>
      <w:lvlText w:val="%5 "/>
      <w:lvlJc w:val="left"/>
      <w:pPr>
        <w:tabs>
          <w:tab w:val="left" w:pos="0"/>
        </w:tabs>
        <w:ind w:left="0" w:firstLine="402"/>
      </w:pPr>
      <w:rPr>
        <w:rFonts w:hint="eastAsia"/>
      </w:rPr>
    </w:lvl>
    <w:lvl w:ilvl="5" w:tentative="0">
      <w:start w:val="1"/>
      <w:numFmt w:val="decimal"/>
      <w:pStyle w:val="8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pStyle w:val="9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pStyle w:val="10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pStyle w:val="11"/>
      <w:suff w:val="nothing"/>
      <w:lvlText w:val="%9 "/>
      <w:lvlJc w:val="left"/>
      <w:pPr>
        <w:ind w:left="0" w:firstLine="402"/>
      </w:pPr>
      <w:rPr>
        <w:rFonts w:hint="eastAsia"/>
      </w:rPr>
    </w:lvl>
  </w:abstractNum>
  <w:abstractNum w:abstractNumId="1">
    <w:nsid w:val="5B01D43E"/>
    <w:multiLevelType w:val="singleLevel"/>
    <w:tmpl w:val="5B01D43E"/>
    <w:lvl w:ilvl="0" w:tentative="0">
      <w:start w:val="1"/>
      <w:numFmt w:val="bullet"/>
      <w:pStyle w:val="15"/>
      <w:lvlText w:val=""/>
      <w:lvlJc w:val="left"/>
      <w:pPr>
        <w:tabs>
          <w:tab w:val="left" w:pos="1200"/>
        </w:tabs>
        <w:ind w:left="120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5123E"/>
    <w:rsid w:val="006015F6"/>
    <w:rsid w:val="01A26771"/>
    <w:rsid w:val="02986115"/>
    <w:rsid w:val="02993F65"/>
    <w:rsid w:val="044C0C16"/>
    <w:rsid w:val="045E07BC"/>
    <w:rsid w:val="05225072"/>
    <w:rsid w:val="05450A86"/>
    <w:rsid w:val="05773F21"/>
    <w:rsid w:val="05D13AC9"/>
    <w:rsid w:val="075C1AB8"/>
    <w:rsid w:val="0BCA3768"/>
    <w:rsid w:val="0BDD7AC5"/>
    <w:rsid w:val="0C474AE5"/>
    <w:rsid w:val="0CF40372"/>
    <w:rsid w:val="0DF479C3"/>
    <w:rsid w:val="10BD1690"/>
    <w:rsid w:val="11205904"/>
    <w:rsid w:val="12F232D0"/>
    <w:rsid w:val="16AD0DFF"/>
    <w:rsid w:val="1AE856E5"/>
    <w:rsid w:val="1B776A68"/>
    <w:rsid w:val="1CA53161"/>
    <w:rsid w:val="1E004AF3"/>
    <w:rsid w:val="1E780715"/>
    <w:rsid w:val="1ECD2595"/>
    <w:rsid w:val="1EDA17E8"/>
    <w:rsid w:val="1FC3106F"/>
    <w:rsid w:val="21B06830"/>
    <w:rsid w:val="21D544E9"/>
    <w:rsid w:val="236830D0"/>
    <w:rsid w:val="268F4CA1"/>
    <w:rsid w:val="26EC54B7"/>
    <w:rsid w:val="292C0D62"/>
    <w:rsid w:val="298559D1"/>
    <w:rsid w:val="2A1A3B37"/>
    <w:rsid w:val="2A247DBB"/>
    <w:rsid w:val="2AFF1E1F"/>
    <w:rsid w:val="2BE05F64"/>
    <w:rsid w:val="2C2E09A7"/>
    <w:rsid w:val="2C646B95"/>
    <w:rsid w:val="2D35408E"/>
    <w:rsid w:val="2DA60AE7"/>
    <w:rsid w:val="302C5C1C"/>
    <w:rsid w:val="321B05D9"/>
    <w:rsid w:val="32E27D3C"/>
    <w:rsid w:val="33460769"/>
    <w:rsid w:val="34727975"/>
    <w:rsid w:val="361F72C3"/>
    <w:rsid w:val="36315D3A"/>
    <w:rsid w:val="36C11A4F"/>
    <w:rsid w:val="36D06337"/>
    <w:rsid w:val="3707607A"/>
    <w:rsid w:val="37C7012B"/>
    <w:rsid w:val="38E30E39"/>
    <w:rsid w:val="3B183024"/>
    <w:rsid w:val="3B3A743F"/>
    <w:rsid w:val="3C9D2396"/>
    <w:rsid w:val="3D5F61C9"/>
    <w:rsid w:val="3EC556D1"/>
    <w:rsid w:val="3F4563B2"/>
    <w:rsid w:val="3F85312F"/>
    <w:rsid w:val="41384420"/>
    <w:rsid w:val="41B17D2F"/>
    <w:rsid w:val="43E56550"/>
    <w:rsid w:val="43F61A45"/>
    <w:rsid w:val="44611EDB"/>
    <w:rsid w:val="44B22C93"/>
    <w:rsid w:val="46E401AA"/>
    <w:rsid w:val="483C1185"/>
    <w:rsid w:val="48705840"/>
    <w:rsid w:val="48C447EC"/>
    <w:rsid w:val="49286E89"/>
    <w:rsid w:val="49385DD0"/>
    <w:rsid w:val="49C66341"/>
    <w:rsid w:val="4A28267D"/>
    <w:rsid w:val="4AA92C43"/>
    <w:rsid w:val="5285323E"/>
    <w:rsid w:val="539339C0"/>
    <w:rsid w:val="53A2229D"/>
    <w:rsid w:val="540C59F4"/>
    <w:rsid w:val="56AA4865"/>
    <w:rsid w:val="574C6336"/>
    <w:rsid w:val="579B304C"/>
    <w:rsid w:val="58BE3005"/>
    <w:rsid w:val="593E2D1F"/>
    <w:rsid w:val="5B7D304F"/>
    <w:rsid w:val="5BBA4800"/>
    <w:rsid w:val="5E2A4C99"/>
    <w:rsid w:val="5E6B758B"/>
    <w:rsid w:val="5ECA3D86"/>
    <w:rsid w:val="5F334021"/>
    <w:rsid w:val="604304C3"/>
    <w:rsid w:val="605204D7"/>
    <w:rsid w:val="607B17DC"/>
    <w:rsid w:val="60EC092C"/>
    <w:rsid w:val="61BE6D19"/>
    <w:rsid w:val="647267C2"/>
    <w:rsid w:val="64BD21E6"/>
    <w:rsid w:val="6552594E"/>
    <w:rsid w:val="68694610"/>
    <w:rsid w:val="6AF701E3"/>
    <w:rsid w:val="6B7439F8"/>
    <w:rsid w:val="6C384A25"/>
    <w:rsid w:val="6C802758"/>
    <w:rsid w:val="6F394D8D"/>
    <w:rsid w:val="70052546"/>
    <w:rsid w:val="70F25AEA"/>
    <w:rsid w:val="70F4096E"/>
    <w:rsid w:val="7141612A"/>
    <w:rsid w:val="71A666BE"/>
    <w:rsid w:val="73CE078A"/>
    <w:rsid w:val="764C0E19"/>
    <w:rsid w:val="77E516A9"/>
    <w:rsid w:val="7A1D70C7"/>
    <w:rsid w:val="7AF844BA"/>
    <w:rsid w:val="7B187E16"/>
    <w:rsid w:val="7B300C49"/>
    <w:rsid w:val="7E5F0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semiHidden="0" w:name="heading 5"/>
    <w:lsdException w:qFormat="1" w:uiPriority="0" w:semiHidden="0" w:name="heading 6"/>
    <w:lsdException w:qFormat="1" w:uiPriority="0" w:semiHidden="0" w:name="heading 7"/>
    <w:lsdException w:qFormat="1" w:uiPriority="0" w:semiHidden="0" w:name="heading 8"/>
    <w:lsdException w:qFormat="1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qFormat="1" w:unhideWhenUsed="0" w:uiPriority="0" w:semiHidden="0" w:name="endnote reference"/>
    <w:lsdException w:qFormat="1"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qFormat="1"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qFormat="1"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qFormat="1"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snapToGrid w:val="0"/>
      <w:spacing w:line="570" w:lineRule="exact"/>
      <w:ind w:firstLine="1454" w:firstLineChars="200"/>
      <w:jc w:val="both"/>
    </w:pPr>
    <w:rPr>
      <w:rFonts w:ascii="Times New Roman" w:hAnsi="Times New Roman" w:eastAsia="仿宋_GB2312" w:cs="Times New Roman"/>
      <w:color w:val="auto"/>
      <w:spacing w:val="-6"/>
      <w:kern w:val="2"/>
      <w:sz w:val="32"/>
      <w:szCs w:val="32"/>
      <w:lang w:val="en-US" w:eastAsia="zh-CN" w:bidi="ar-SA"/>
    </w:rPr>
  </w:style>
  <w:style w:type="paragraph" w:styleId="2">
    <w:name w:val="heading 1"/>
    <w:next w:val="1"/>
    <w:qFormat/>
    <w:uiPriority w:val="0"/>
    <w:pPr>
      <w:keepNext/>
      <w:keepLines/>
      <w:numPr>
        <w:ilvl w:val="0"/>
        <w:numId w:val="0"/>
      </w:numPr>
      <w:tabs>
        <w:tab w:val="left" w:pos="0"/>
      </w:tabs>
      <w:adjustRightInd w:val="0"/>
      <w:snapToGrid w:val="0"/>
      <w:spacing w:line="570" w:lineRule="exact"/>
      <w:ind w:firstLine="0" w:firstLineChars="0"/>
      <w:jc w:val="center"/>
      <w:outlineLvl w:val="0"/>
    </w:pPr>
    <w:rPr>
      <w:rFonts w:ascii="Times New Roman" w:hAnsi="Times New Roman" w:eastAsia="方正小标宋简体" w:cs="Times New Roman"/>
      <w:color w:val="auto"/>
      <w:kern w:val="44"/>
      <w:sz w:val="44"/>
      <w:szCs w:val="44"/>
      <w:lang w:val="en-US" w:eastAsia="zh-CN" w:bidi="ar-SA"/>
    </w:rPr>
  </w:style>
  <w:style w:type="paragraph" w:styleId="3">
    <w:name w:val="heading 2"/>
    <w:next w:val="4"/>
    <w:unhideWhenUsed/>
    <w:qFormat/>
    <w:uiPriority w:val="0"/>
    <w:pPr>
      <w:keepNext/>
      <w:keepLines/>
      <w:numPr>
        <w:ilvl w:val="1"/>
        <w:numId w:val="0"/>
      </w:numPr>
      <w:tabs>
        <w:tab w:val="left" w:pos="0"/>
      </w:tabs>
      <w:adjustRightInd w:val="0"/>
      <w:snapToGrid w:val="0"/>
      <w:spacing w:line="570" w:lineRule="exact"/>
      <w:ind w:firstLine="880" w:firstLineChars="200"/>
      <w:jc w:val="both"/>
      <w:outlineLvl w:val="1"/>
    </w:pPr>
    <w:rPr>
      <w:rFonts w:ascii="Times New Roman" w:hAnsi="Times New Roman" w:eastAsia="黑体" w:cs="Times New Roman"/>
      <w:color w:val="auto"/>
      <w:sz w:val="32"/>
      <w:szCs w:val="32"/>
      <w:lang w:val="en-US" w:eastAsia="zh-CN" w:bidi="ar-SA"/>
    </w:rPr>
  </w:style>
  <w:style w:type="paragraph" w:styleId="5">
    <w:name w:val="heading 3"/>
    <w:next w:val="4"/>
    <w:link w:val="60"/>
    <w:unhideWhenUsed/>
    <w:qFormat/>
    <w:uiPriority w:val="0"/>
    <w:pPr>
      <w:keepNext/>
      <w:keepLines/>
      <w:numPr>
        <w:ilvl w:val="2"/>
        <w:numId w:val="0"/>
      </w:numPr>
      <w:tabs>
        <w:tab w:val="left" w:pos="312"/>
      </w:tabs>
      <w:adjustRightInd w:val="0"/>
      <w:snapToGrid w:val="0"/>
      <w:spacing w:line="570" w:lineRule="exact"/>
      <w:ind w:firstLine="616" w:firstLineChars="200"/>
      <w:jc w:val="both"/>
      <w:outlineLvl w:val="2"/>
    </w:pPr>
    <w:rPr>
      <w:rFonts w:ascii="Times New Roman" w:hAnsi="Times New Roman" w:eastAsia="楷体_GB2312" w:cs="Times New Roman"/>
      <w:b/>
      <w:color w:val="auto"/>
      <w:sz w:val="32"/>
      <w:szCs w:val="32"/>
      <w:lang w:val="en-US" w:eastAsia="zh-CN" w:bidi="ar-SA"/>
    </w:rPr>
  </w:style>
  <w:style w:type="paragraph" w:styleId="6">
    <w:name w:val="heading 4"/>
    <w:next w:val="4"/>
    <w:link w:val="44"/>
    <w:unhideWhenUsed/>
    <w:qFormat/>
    <w:uiPriority w:val="0"/>
    <w:pPr>
      <w:keepNext/>
      <w:keepLines/>
      <w:numPr>
        <w:ilvl w:val="3"/>
        <w:numId w:val="0"/>
      </w:numPr>
      <w:adjustRightInd w:val="0"/>
      <w:snapToGrid w:val="0"/>
      <w:spacing w:line="570" w:lineRule="exact"/>
      <w:ind w:firstLine="616" w:firstLineChars="200"/>
      <w:outlineLvl w:val="3"/>
    </w:pPr>
    <w:rPr>
      <w:rFonts w:ascii="Times New Roman" w:hAnsi="Times New Roman" w:eastAsia="仿宋_GB2312" w:cs="Times New Roman"/>
      <w:b/>
      <w:color w:val="auto"/>
      <w:sz w:val="32"/>
      <w:szCs w:val="32"/>
      <w:lang w:val="en-US" w:eastAsia="zh-CN" w:bidi="ar-SA"/>
    </w:rPr>
  </w:style>
  <w:style w:type="paragraph" w:styleId="7">
    <w:name w:val="heading 5"/>
    <w:next w:val="4"/>
    <w:unhideWhenUsed/>
    <w:qFormat/>
    <w:uiPriority w:val="0"/>
    <w:pPr>
      <w:numPr>
        <w:ilvl w:val="4"/>
        <w:numId w:val="1"/>
      </w:numPr>
      <w:adjustRightInd w:val="0"/>
      <w:snapToGrid w:val="0"/>
      <w:spacing w:line="576" w:lineRule="exact"/>
      <w:ind w:firstLine="402" w:firstLineChars="0"/>
      <w:outlineLvl w:val="4"/>
    </w:pPr>
    <w:rPr>
      <w:rFonts w:ascii="仿宋" w:hAnsi="仿宋" w:eastAsia="仿宋" w:cs="Times New Roman"/>
      <w:color w:val="auto"/>
      <w:sz w:val="32"/>
      <w:szCs w:val="32"/>
      <w:lang w:val="en-US" w:eastAsia="zh-CN" w:bidi="ar-SA"/>
    </w:rPr>
  </w:style>
  <w:style w:type="paragraph" w:styleId="8">
    <w:name w:val="heading 6"/>
    <w:next w:val="4"/>
    <w:unhideWhenUsed/>
    <w:qFormat/>
    <w:uiPriority w:val="0"/>
    <w:pPr>
      <w:numPr>
        <w:ilvl w:val="5"/>
        <w:numId w:val="1"/>
      </w:numPr>
      <w:adjustRightInd w:val="0"/>
      <w:snapToGrid w:val="0"/>
      <w:spacing w:line="576" w:lineRule="exact"/>
      <w:ind w:firstLine="402" w:firstLineChars="0"/>
      <w:outlineLvl w:val="5"/>
    </w:pPr>
    <w:rPr>
      <w:rFonts w:ascii="仿宋" w:hAnsi="仿宋" w:eastAsia="仿宋" w:cs="Times New Roman"/>
      <w:color w:val="auto"/>
      <w:sz w:val="32"/>
      <w:szCs w:val="32"/>
      <w:lang w:val="en-US" w:eastAsia="zh-CN" w:bidi="ar-SA"/>
    </w:rPr>
  </w:style>
  <w:style w:type="paragraph" w:styleId="9">
    <w:name w:val="heading 7"/>
    <w:next w:val="4"/>
    <w:unhideWhenUsed/>
    <w:qFormat/>
    <w:uiPriority w:val="0"/>
    <w:pPr>
      <w:numPr>
        <w:ilvl w:val="6"/>
        <w:numId w:val="1"/>
      </w:numPr>
      <w:adjustRightInd w:val="0"/>
      <w:snapToGrid w:val="0"/>
      <w:spacing w:line="576" w:lineRule="exact"/>
      <w:ind w:firstLine="402" w:firstLineChars="0"/>
      <w:outlineLvl w:val="6"/>
    </w:pPr>
    <w:rPr>
      <w:rFonts w:ascii="仿宋" w:hAnsi="仿宋" w:eastAsia="仿宋" w:cs="Times New Roman"/>
      <w:color w:val="auto"/>
      <w:sz w:val="32"/>
      <w:szCs w:val="32"/>
      <w:lang w:val="en-US" w:eastAsia="zh-CN" w:bidi="ar-SA"/>
    </w:rPr>
  </w:style>
  <w:style w:type="paragraph" w:styleId="10">
    <w:name w:val="heading 8"/>
    <w:next w:val="4"/>
    <w:unhideWhenUsed/>
    <w:qFormat/>
    <w:uiPriority w:val="0"/>
    <w:pPr>
      <w:numPr>
        <w:ilvl w:val="7"/>
        <w:numId w:val="1"/>
      </w:numPr>
      <w:adjustRightInd w:val="0"/>
      <w:snapToGrid w:val="0"/>
      <w:spacing w:line="576" w:lineRule="exact"/>
      <w:ind w:firstLine="402" w:firstLineChars="0"/>
      <w:outlineLvl w:val="7"/>
    </w:pPr>
    <w:rPr>
      <w:rFonts w:ascii="仿宋" w:hAnsi="仿宋" w:eastAsia="仿宋" w:cs="Times New Roman"/>
      <w:color w:val="auto"/>
      <w:sz w:val="32"/>
      <w:szCs w:val="32"/>
      <w:lang w:val="en-US" w:eastAsia="zh-CN" w:bidi="ar-SA"/>
    </w:rPr>
  </w:style>
  <w:style w:type="paragraph" w:styleId="11">
    <w:name w:val="heading 9"/>
    <w:next w:val="4"/>
    <w:unhideWhenUsed/>
    <w:qFormat/>
    <w:uiPriority w:val="0"/>
    <w:pPr>
      <w:numPr>
        <w:ilvl w:val="8"/>
        <w:numId w:val="1"/>
      </w:numPr>
      <w:adjustRightInd w:val="0"/>
      <w:snapToGrid w:val="0"/>
      <w:spacing w:line="576" w:lineRule="exact"/>
      <w:ind w:firstLine="402" w:firstLineChars="0"/>
      <w:outlineLvl w:val="8"/>
    </w:pPr>
    <w:rPr>
      <w:rFonts w:ascii="仿宋" w:hAnsi="仿宋" w:eastAsia="仿宋" w:cs="Times New Roman"/>
      <w:color w:val="auto"/>
      <w:sz w:val="32"/>
      <w:szCs w:val="32"/>
      <w:lang w:val="en-US" w:eastAsia="zh-CN" w:bidi="ar-SA"/>
    </w:rPr>
  </w:style>
  <w:style w:type="character" w:default="1" w:styleId="35">
    <w:name w:val="Default Paragraph Font"/>
    <w:semiHidden/>
    <w:unhideWhenUsed/>
    <w:qFormat/>
    <w:uiPriority w:val="1"/>
  </w:style>
  <w:style w:type="table" w:default="1" w:styleId="3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link w:val="54"/>
    <w:qFormat/>
    <w:uiPriority w:val="0"/>
    <w:pPr>
      <w:adjustRightInd w:val="0"/>
      <w:snapToGrid w:val="0"/>
      <w:spacing w:line="576" w:lineRule="exact"/>
      <w:ind w:firstLine="630" w:firstLineChars="200"/>
    </w:pPr>
    <w:rPr>
      <w:rFonts w:ascii="仿宋" w:hAnsi="仿宋" w:eastAsia="仿宋" w:cs="Times New Roman"/>
      <w:color w:val="auto"/>
      <w:spacing w:val="-6"/>
      <w:sz w:val="32"/>
      <w:szCs w:val="32"/>
      <w:lang w:val="en-US" w:eastAsia="zh-CN" w:bidi="ar-SA"/>
    </w:rPr>
  </w:style>
  <w:style w:type="paragraph" w:styleId="12">
    <w:name w:val="caption"/>
    <w:basedOn w:val="1"/>
    <w:next w:val="1"/>
    <w:unhideWhenUsed/>
    <w:qFormat/>
    <w:uiPriority w:val="0"/>
    <w:pPr>
      <w:ind w:firstLine="0" w:firstLineChars="0"/>
    </w:pPr>
    <w:rPr>
      <w:rFonts w:cs="仿宋"/>
      <w:sz w:val="20"/>
    </w:rPr>
  </w:style>
  <w:style w:type="paragraph" w:styleId="13">
    <w:name w:val="annotation text"/>
    <w:basedOn w:val="1"/>
    <w:qFormat/>
    <w:uiPriority w:val="0"/>
    <w:pPr>
      <w:jc w:val="left"/>
    </w:pPr>
    <w:rPr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4">
    <w:name w:val="Salutation"/>
    <w:basedOn w:val="1"/>
    <w:next w:val="1"/>
    <w:qFormat/>
    <w:uiPriority w:val="0"/>
    <w:pPr>
      <w:ind w:firstLine="0" w:firstLineChars="0"/>
    </w:pPr>
    <w:rPr>
      <w:color w:val="auto"/>
    </w:rPr>
  </w:style>
  <w:style w:type="paragraph" w:styleId="15">
    <w:name w:val="List Bullet 3"/>
    <w:basedOn w:val="1"/>
    <w:qFormat/>
    <w:uiPriority w:val="0"/>
    <w:pPr>
      <w:numPr>
        <w:ilvl w:val="0"/>
        <w:numId w:val="2"/>
      </w:numPr>
    </w:pPr>
    <w:rPr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6">
    <w:name w:val="toc 5"/>
    <w:basedOn w:val="1"/>
    <w:next w:val="1"/>
    <w:qFormat/>
    <w:uiPriority w:val="0"/>
    <w:pPr>
      <w:ind w:left="1680" w:leftChars="800"/>
    </w:pPr>
    <w:rPr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7">
    <w:name w:val="toc 3"/>
    <w:basedOn w:val="1"/>
    <w:next w:val="1"/>
    <w:qFormat/>
    <w:uiPriority w:val="0"/>
    <w:pPr>
      <w:ind w:left="840" w:leftChars="400"/>
    </w:pPr>
    <w:rPr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8">
    <w:name w:val="Plain Text"/>
    <w:basedOn w:val="1"/>
    <w:qFormat/>
    <w:uiPriority w:val="0"/>
    <w:rPr>
      <w:rFonts w:ascii="宋体" w:hAnsi="Courier New"/>
      <w:snapToGrid w:val="0"/>
      <w:color w:val="262626" w:themeColor="text1" w:themeTint="D9"/>
      <w:kern w:val="0"/>
      <w:sz w:val="20"/>
      <w:szCs w:val="21"/>
      <w:lang w:val="zh-CN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9">
    <w:name w:val="Date"/>
    <w:basedOn w:val="1"/>
    <w:next w:val="1"/>
    <w:qFormat/>
    <w:uiPriority w:val="0"/>
    <w:pPr>
      <w:ind w:firstLine="0" w:firstLineChars="0"/>
      <w:jc w:val="right"/>
    </w:pPr>
    <w:rPr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20">
    <w:name w:val="endnote text"/>
    <w:basedOn w:val="1"/>
    <w:qFormat/>
    <w:uiPriority w:val="0"/>
    <w:pPr>
      <w:jc w:val="left"/>
    </w:pPr>
    <w:rPr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21">
    <w:name w:val="Balloon Text"/>
    <w:basedOn w:val="1"/>
    <w:qFormat/>
    <w:uiPriority w:val="0"/>
    <w:rPr>
      <w:sz w:val="18"/>
      <w:szCs w:val="18"/>
    </w:rPr>
  </w:style>
  <w:style w:type="paragraph" w:styleId="22">
    <w:name w:val="footer"/>
    <w:basedOn w:val="1"/>
    <w:qFormat/>
    <w:uiPriority w:val="0"/>
    <w:pPr>
      <w:tabs>
        <w:tab w:val="center" w:pos="4153"/>
        <w:tab w:val="right" w:pos="8306"/>
      </w:tabs>
      <w:ind w:firstLine="0" w:firstLineChars="0"/>
      <w:jc w:val="left"/>
    </w:pPr>
    <w:rPr>
      <w:sz w:val="18"/>
      <w:szCs w:val="18"/>
    </w:rPr>
  </w:style>
  <w:style w:type="paragraph" w:styleId="2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pacing w:line="240" w:lineRule="auto"/>
      <w:ind w:firstLine="0" w:firstLineChars="0"/>
    </w:pPr>
    <w:rPr>
      <w:sz w:val="18"/>
      <w:szCs w:val="18"/>
    </w:rPr>
  </w:style>
  <w:style w:type="paragraph" w:styleId="24">
    <w:name w:val="Signature"/>
    <w:basedOn w:val="1"/>
    <w:qFormat/>
    <w:uiPriority w:val="0"/>
    <w:pPr>
      <w:ind w:firstLine="0" w:firstLineChars="0"/>
      <w:jc w:val="right"/>
    </w:pPr>
    <w:rPr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25">
    <w:name w:val="toc 1"/>
    <w:basedOn w:val="1"/>
    <w:next w:val="1"/>
    <w:qFormat/>
    <w:uiPriority w:val="0"/>
    <w:rPr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26">
    <w:name w:val="toc 4"/>
    <w:basedOn w:val="1"/>
    <w:next w:val="1"/>
    <w:qFormat/>
    <w:uiPriority w:val="0"/>
    <w:pPr>
      <w:ind w:left="1260" w:leftChars="600"/>
    </w:pPr>
    <w:rPr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27">
    <w:name w:val="Subtitle"/>
    <w:next w:val="4"/>
    <w:link w:val="47"/>
    <w:qFormat/>
    <w:uiPriority w:val="0"/>
    <w:pPr>
      <w:adjustRightInd w:val="0"/>
      <w:snapToGrid w:val="0"/>
      <w:spacing w:line="720" w:lineRule="exact"/>
      <w:jc w:val="center"/>
      <w:outlineLvl w:val="1"/>
    </w:pPr>
    <w:rPr>
      <w:rFonts w:ascii="黑体" w:hAnsi="黑体" w:eastAsia="黑体" w:cs="Times New Roman"/>
      <w:color w:val="auto"/>
      <w:kern w:val="28"/>
      <w:sz w:val="36"/>
      <w:szCs w:val="36"/>
      <w:lang w:val="en-US" w:eastAsia="zh-CN" w:bidi="ar-SA"/>
    </w:rPr>
  </w:style>
  <w:style w:type="paragraph" w:styleId="28">
    <w:name w:val="footnote text"/>
    <w:basedOn w:val="1"/>
    <w:qFormat/>
    <w:uiPriority w:val="0"/>
    <w:pPr>
      <w:jc w:val="left"/>
    </w:pPr>
    <w:rPr>
      <w:sz w:val="18"/>
      <w:szCs w:val="18"/>
    </w:rPr>
  </w:style>
  <w:style w:type="paragraph" w:styleId="29">
    <w:name w:val="toc 2"/>
    <w:basedOn w:val="1"/>
    <w:next w:val="1"/>
    <w:qFormat/>
    <w:uiPriority w:val="0"/>
    <w:pPr>
      <w:ind w:left="420" w:leftChars="200"/>
    </w:pPr>
    <w:rPr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30">
    <w:name w:val="Normal (Web)"/>
    <w:basedOn w:val="1"/>
    <w:qFormat/>
    <w:uiPriority w:val="0"/>
    <w:rPr>
      <w:sz w:val="24"/>
      <w:szCs w:val="24"/>
    </w:rPr>
  </w:style>
  <w:style w:type="paragraph" w:styleId="31">
    <w:name w:val="Title"/>
    <w:link w:val="55"/>
    <w:qFormat/>
    <w:uiPriority w:val="0"/>
    <w:pPr>
      <w:adjustRightInd w:val="0"/>
      <w:snapToGrid w:val="0"/>
      <w:spacing w:after="296" w:line="720" w:lineRule="exact"/>
      <w:jc w:val="center"/>
      <w:outlineLvl w:val="0"/>
    </w:pPr>
    <w:rPr>
      <w:rFonts w:ascii="方正小标宋简体" w:hAnsi="方正小标宋简体" w:eastAsia="方正小标宋简体" w:cs="Times New Roman"/>
      <w:color w:val="262626" w:themeColor="text1" w:themeTint="D9"/>
      <w:sz w:val="44"/>
      <w:szCs w:val="44"/>
      <w:lang w:val="en-US" w:eastAsia="zh-CN" w:bidi="ar-SA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32">
    <w:name w:val="annotation subject"/>
    <w:basedOn w:val="13"/>
    <w:next w:val="13"/>
    <w:qFormat/>
    <w:uiPriority w:val="0"/>
    <w:rPr>
      <w:b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table" w:styleId="34">
    <w:name w:val="Table Grid"/>
    <w:basedOn w:val="3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36">
    <w:name w:val="Strong"/>
    <w:qFormat/>
    <w:uiPriority w:val="0"/>
    <w:rPr>
      <w:rFonts w:ascii="仿宋" w:hAnsi="仿宋" w:eastAsia="仿宋" w:cs="Times New Roman"/>
      <w:b/>
      <w:bCs/>
      <w:color w:val="262626" w:themeColor="text1" w:themeTint="D9"/>
      <w:spacing w:val="-6"/>
      <w:kern w:val="2"/>
      <w:sz w:val="32"/>
      <w:szCs w:val="32"/>
      <w:u w:val="single"/>
      <w:lang w:val="en-US" w:eastAsia="zh-CN" w:bidi="ar-SA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styleId="37">
    <w:name w:val="endnote reference"/>
    <w:basedOn w:val="35"/>
    <w:qFormat/>
    <w:uiPriority w:val="0"/>
    <w:rPr>
      <w:rFonts w:ascii="仿宋" w:hAnsi="仿宋" w:eastAsia="仿宋"/>
      <w:color w:val="262626" w:themeColor="text1" w:themeTint="D9"/>
      <w:vertAlign w:val="superscript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styleId="38">
    <w:name w:val="page number"/>
    <w:qFormat/>
    <w:uiPriority w:val="0"/>
    <w:rPr>
      <w:rFonts w:ascii="宋体" w:hAnsi="宋体" w:eastAsia="宋体" w:cs="Times New Roman"/>
      <w:color w:val="262626" w:themeColor="text1" w:themeTint="D9"/>
      <w:spacing w:val="-6"/>
      <w:kern w:val="2"/>
      <w:sz w:val="28"/>
      <w:szCs w:val="28"/>
      <w:lang w:val="en-US" w:eastAsia="zh-CN" w:bidi="ar-SA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styleId="39">
    <w:name w:val="FollowedHyperlink"/>
    <w:basedOn w:val="35"/>
    <w:qFormat/>
    <w:uiPriority w:val="0"/>
    <w:rPr>
      <w:rFonts w:ascii="仿宋" w:hAnsi="仿宋" w:eastAsia="仿宋" w:cs="Times New Roman"/>
      <w:color w:val="800080"/>
      <w:spacing w:val="-6"/>
      <w:kern w:val="2"/>
      <w:sz w:val="32"/>
      <w:szCs w:val="32"/>
      <w:u w:val="single"/>
      <w:lang w:val="en-US" w:eastAsia="zh-CN" w:bidi="ar-SA"/>
    </w:rPr>
  </w:style>
  <w:style w:type="character" w:styleId="40">
    <w:name w:val="Emphasis"/>
    <w:qFormat/>
    <w:uiPriority w:val="0"/>
    <w:rPr>
      <w:rFonts w:ascii="仿宋" w:hAnsi="仿宋" w:eastAsia="仿宋" w:cs="Times New Roman"/>
      <w:b/>
      <w:bCs/>
      <w:color w:val="262626" w:themeColor="text1" w:themeTint="D9"/>
      <w:spacing w:val="-6"/>
      <w:kern w:val="2"/>
      <w:sz w:val="32"/>
      <w:szCs w:val="32"/>
      <w:lang w:val="en-US" w:eastAsia="zh-CN" w:bidi="ar-SA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styleId="41">
    <w:name w:val="Hyperlink"/>
    <w:basedOn w:val="35"/>
    <w:qFormat/>
    <w:uiPriority w:val="0"/>
    <w:rPr>
      <w:rFonts w:ascii="仿宋" w:hAnsi="仿宋" w:eastAsia="仿宋" w:cs="Times New Roman"/>
      <w:caps/>
      <w:color w:val="0000FF"/>
      <w:spacing w:val="-6"/>
      <w:kern w:val="2"/>
      <w:sz w:val="32"/>
      <w:szCs w:val="32"/>
      <w:u w:val="single"/>
      <w:lang w:val="en-US" w:eastAsia="zh-CN" w:bidi="ar-SA"/>
    </w:rPr>
  </w:style>
  <w:style w:type="character" w:styleId="42">
    <w:name w:val="annotation reference"/>
    <w:basedOn w:val="35"/>
    <w:qFormat/>
    <w:uiPriority w:val="0"/>
    <w:rPr>
      <w:rFonts w:ascii="仿宋" w:hAnsi="仿宋" w:eastAsia="仿宋"/>
      <w:color w:val="262626" w:themeColor="text1" w:themeTint="D9"/>
      <w:sz w:val="21"/>
      <w:szCs w:val="21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styleId="43">
    <w:name w:val="footnote reference"/>
    <w:basedOn w:val="35"/>
    <w:qFormat/>
    <w:uiPriority w:val="0"/>
    <w:rPr>
      <w:rFonts w:ascii="仿宋" w:hAnsi="仿宋" w:eastAsia="仿宋"/>
      <w:color w:val="262626" w:themeColor="text1" w:themeTint="D9"/>
      <w:vertAlign w:val="superscript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44">
    <w:name w:val="标题 4 字符"/>
    <w:link w:val="6"/>
    <w:qFormat/>
    <w:uiPriority w:val="9"/>
    <w:rPr>
      <w:rFonts w:ascii="Times New Roman" w:hAnsi="Times New Roman" w:eastAsia="仿宋_GB2312" w:cs="Times New Roman"/>
      <w:b/>
      <w:color w:val="auto"/>
      <w:sz w:val="32"/>
      <w:szCs w:val="32"/>
      <w:lang w:val="en-US" w:eastAsia="zh-CN" w:bidi="ar-SA"/>
    </w:rPr>
  </w:style>
  <w:style w:type="paragraph" w:customStyle="1" w:styleId="45">
    <w:name w:val="目录标题"/>
    <w:qFormat/>
    <w:uiPriority w:val="0"/>
    <w:pPr>
      <w:adjustRightInd w:val="0"/>
      <w:jc w:val="center"/>
      <w:textAlignment w:val="center"/>
    </w:pPr>
    <w:rPr>
      <w:rFonts w:ascii="黑体" w:hAnsi="黑体" w:eastAsia="黑体" w:cs="Times New Roman"/>
      <w:color w:val="auto"/>
      <w:sz w:val="32"/>
      <w:szCs w:val="32"/>
      <w:lang w:val="en-US" w:eastAsia="zh-CN" w:bidi="ar-SA"/>
    </w:rPr>
  </w:style>
  <w:style w:type="paragraph" w:customStyle="1" w:styleId="46">
    <w:name w:val="章标题"/>
    <w:basedOn w:val="1"/>
    <w:next w:val="1"/>
    <w:qFormat/>
    <w:uiPriority w:val="0"/>
    <w:pPr>
      <w:spacing w:line="720" w:lineRule="exact"/>
      <w:ind w:firstLine="0" w:firstLineChars="0"/>
      <w:jc w:val="center"/>
      <w:outlineLvl w:val="0"/>
    </w:pPr>
    <w:rPr>
      <w:rFonts w:hint="eastAsia" w:ascii="黑体" w:hAnsi="黑体" w:eastAsia="黑体"/>
      <w:kern w:val="44"/>
      <w:sz w:val="36"/>
      <w:szCs w:val="36"/>
    </w:rPr>
  </w:style>
  <w:style w:type="character" w:customStyle="1" w:styleId="47">
    <w:name w:val="副标题 字符"/>
    <w:link w:val="27"/>
    <w:qFormat/>
    <w:uiPriority w:val="0"/>
    <w:rPr>
      <w:rFonts w:ascii="黑体" w:hAnsi="黑体" w:eastAsia="黑体" w:cs="Times New Roman"/>
      <w:color w:val="auto"/>
      <w:kern w:val="28"/>
      <w:sz w:val="36"/>
      <w:szCs w:val="36"/>
      <w:lang w:val="en-US" w:eastAsia="zh-CN" w:bidi="ar-SA"/>
    </w:rPr>
  </w:style>
  <w:style w:type="paragraph" w:customStyle="1" w:styleId="48">
    <w:name w:val="题注1"/>
    <w:basedOn w:val="1"/>
    <w:qFormat/>
    <w:uiPriority w:val="0"/>
    <w:pPr>
      <w:ind w:firstLine="0" w:firstLineChars="0"/>
    </w:pPr>
    <w:rPr>
      <w:rFonts w:hint="eastAsia"/>
      <w:sz w:val="20"/>
      <w:szCs w:val="20"/>
    </w:rPr>
  </w:style>
  <w:style w:type="paragraph" w:customStyle="1" w:styleId="49">
    <w:name w:val="文档说明标题"/>
    <w:next w:val="1"/>
    <w:qFormat/>
    <w:uiPriority w:val="0"/>
    <w:pPr>
      <w:keepNext/>
      <w:keepLines/>
      <w:tabs>
        <w:tab w:val="left" w:pos="0"/>
      </w:tabs>
      <w:adjustRightInd w:val="0"/>
      <w:snapToGrid w:val="0"/>
      <w:spacing w:line="720" w:lineRule="exact"/>
      <w:jc w:val="center"/>
      <w:outlineLvl w:val="0"/>
    </w:pPr>
    <w:rPr>
      <w:rFonts w:ascii="黑体" w:hAnsi="黑体" w:eastAsia="黑体" w:cstheme="minorBidi"/>
      <w:color w:val="auto"/>
      <w:kern w:val="44"/>
      <w:sz w:val="36"/>
      <w:szCs w:val="36"/>
      <w:lang w:val="en-US" w:eastAsia="zh-CN" w:bidi="ar-SA"/>
    </w:rPr>
  </w:style>
  <w:style w:type="paragraph" w:customStyle="1" w:styleId="50">
    <w:name w:val="节标题"/>
    <w:next w:val="1"/>
    <w:qFormat/>
    <w:uiPriority w:val="0"/>
    <w:pPr>
      <w:tabs>
        <w:tab w:val="left" w:pos="0"/>
      </w:tabs>
      <w:adjustRightInd w:val="0"/>
      <w:snapToGrid w:val="0"/>
      <w:spacing w:line="720" w:lineRule="exact"/>
      <w:jc w:val="center"/>
    </w:pPr>
    <w:rPr>
      <w:rFonts w:ascii="黑体" w:hAnsi="黑体" w:eastAsia="黑体" w:cstheme="minorBidi"/>
      <w:color w:val="auto"/>
      <w:sz w:val="32"/>
      <w:szCs w:val="32"/>
      <w:lang w:val="en-US" w:eastAsia="zh-CN" w:bidi="ar-SA"/>
    </w:rPr>
  </w:style>
  <w:style w:type="paragraph" w:customStyle="1" w:styleId="51">
    <w:name w:val="附录标题"/>
    <w:next w:val="4"/>
    <w:qFormat/>
    <w:uiPriority w:val="0"/>
    <w:pPr>
      <w:overflowPunct w:val="0"/>
      <w:topLinePunct/>
      <w:adjustRightInd w:val="0"/>
      <w:snapToGrid w:val="0"/>
      <w:spacing w:line="720" w:lineRule="exact"/>
      <w:jc w:val="center"/>
    </w:pPr>
    <w:rPr>
      <w:rFonts w:hint="eastAsia" w:ascii="黑体" w:hAnsi="黑体" w:eastAsia="黑体" w:cs="Times New Roman"/>
      <w:color w:val="auto"/>
      <w:sz w:val="36"/>
      <w:szCs w:val="36"/>
      <w:lang w:val="en-US" w:eastAsia="zh-CN" w:bidi="ar-SA"/>
    </w:rPr>
  </w:style>
  <w:style w:type="character" w:customStyle="1" w:styleId="52">
    <w:name w:val="参考文献条目"/>
    <w:basedOn w:val="35"/>
    <w:qFormat/>
    <w:uiPriority w:val="0"/>
    <w:rPr>
      <w:rFonts w:ascii="黑体" w:hAnsi="黑体" w:eastAsia="黑体" w:cs="Times New Roman"/>
      <w:color w:val="262626" w:themeColor="text1" w:themeTint="D9"/>
      <w:sz w:val="30"/>
      <w:szCs w:val="30"/>
      <w:lang w:val="en-US" w:eastAsia="zh-CN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53">
    <w:name w:val="着重标题"/>
    <w:basedOn w:val="35"/>
    <w:qFormat/>
    <w:uiPriority w:val="0"/>
    <w:rPr>
      <w:rFonts w:ascii="黑体" w:hAnsi="黑体" w:eastAsia="黑体" w:cs="Times New Roman"/>
      <w:color w:val="262626" w:themeColor="text1" w:themeTint="D9"/>
      <w:sz w:val="30"/>
      <w:szCs w:val="30"/>
      <w:lang w:val="en-US" w:eastAsia="zh-CN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54">
    <w:name w:val="正文文本 字符"/>
    <w:link w:val="4"/>
    <w:qFormat/>
    <w:uiPriority w:val="0"/>
    <w:rPr>
      <w:rFonts w:ascii="仿宋" w:hAnsi="仿宋" w:eastAsia="仿宋" w:cs="Times New Roman"/>
      <w:color w:val="auto"/>
      <w:spacing w:val="-6"/>
      <w:sz w:val="32"/>
      <w:szCs w:val="32"/>
      <w:lang w:val="en-US" w:eastAsia="zh-CN" w:bidi="ar-SA"/>
    </w:rPr>
  </w:style>
  <w:style w:type="character" w:customStyle="1" w:styleId="55">
    <w:name w:val="标题 字符"/>
    <w:link w:val="31"/>
    <w:qFormat/>
    <w:uiPriority w:val="0"/>
    <w:rPr>
      <w:rFonts w:ascii="方正小标宋简体" w:hAnsi="方正小标宋简体" w:eastAsia="方正小标宋简体" w:cs="Times New Roman"/>
      <w:color w:val="262626" w:themeColor="text1" w:themeTint="D9"/>
      <w:sz w:val="44"/>
      <w:szCs w:val="44"/>
      <w:lang w:val="en-US" w:eastAsia="zh-CN" w:bidi="ar-SA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customStyle="1" w:styleId="56">
    <w:name w:val="主送对象"/>
    <w:next w:val="4"/>
    <w:qFormat/>
    <w:uiPriority w:val="0"/>
    <w:pPr>
      <w:adjustRightInd w:val="0"/>
      <w:snapToGrid w:val="0"/>
      <w:spacing w:line="576" w:lineRule="exact"/>
    </w:pPr>
    <w:rPr>
      <w:rFonts w:hint="eastAsia" w:ascii="仿宋" w:hAnsi="仿宋" w:eastAsia="仿宋" w:cs="Times New Roman"/>
      <w:color w:val="auto"/>
      <w:sz w:val="32"/>
      <w:szCs w:val="32"/>
      <w:lang w:val="en-US" w:eastAsia="zh-CN" w:bidi="ar-SA"/>
    </w:rPr>
  </w:style>
  <w:style w:type="paragraph" w:customStyle="1" w:styleId="57">
    <w:name w:val="表格标题"/>
    <w:next w:val="1"/>
    <w:qFormat/>
    <w:uiPriority w:val="0"/>
    <w:pPr>
      <w:overflowPunct w:val="0"/>
      <w:topLinePunct/>
      <w:jc w:val="center"/>
    </w:pPr>
    <w:rPr>
      <w:rFonts w:hint="eastAsia" w:ascii="仿宋" w:hAnsi="仿宋" w:eastAsia="仿宋" w:cs="Times New Roman"/>
      <w:color w:val="262626" w:themeColor="text1" w:themeTint="D9"/>
      <w:spacing w:val="-6"/>
      <w:sz w:val="32"/>
      <w:szCs w:val="32"/>
      <w:lang w:val="en-US" w:eastAsia="zh-CN" w:bidi="ar-SA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58">
    <w:name w:val="摘要"/>
    <w:basedOn w:val="35"/>
    <w:qFormat/>
    <w:uiPriority w:val="0"/>
    <w:rPr>
      <w:rFonts w:hint="eastAsia" w:ascii="黑体" w:hAnsi="黑体" w:eastAsia="黑体"/>
      <w:color w:val="262626" w:themeColor="text1" w:themeTint="D9"/>
      <w:sz w:val="30"/>
      <w:szCs w:val="30"/>
      <w:lang w:val="en-US" w:eastAsia="zh-CN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59">
    <w:name w:val="关键词"/>
    <w:basedOn w:val="35"/>
    <w:qFormat/>
    <w:uiPriority w:val="0"/>
    <w:rPr>
      <w:rFonts w:hint="eastAsia" w:ascii="黑体" w:hAnsi="黑体" w:eastAsia="黑体"/>
      <w:color w:val="262626" w:themeColor="text1" w:themeTint="D9"/>
      <w:sz w:val="30"/>
      <w:szCs w:val="30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60">
    <w:name w:val="标题 3 Char"/>
    <w:link w:val="5"/>
    <w:qFormat/>
    <w:uiPriority w:val="0"/>
    <w:rPr>
      <w:rFonts w:ascii="Times New Roman" w:hAnsi="Times New Roman" w:eastAsia="楷体_GB2312" w:cs="Times New Roman"/>
      <w:b/>
      <w:color w:val="auto"/>
      <w:sz w:val="32"/>
      <w:szCs w:val="3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314e5e95-af61-41a0-9b44-08e967513f60</errorID>
      <errorWord>《</errorWord>
      <group>L1_Punc</group>
      <groupName>标点问题</groupName>
      <ability>L2_Punc</ability>
      <abilityName>标点符号检查</abilityName>
      <candidateList/>
      <explain>此处标点可能未正确匹配，请检查句子中是否存在标点冗余、缺失或使用错误的情况。</explain>
      <paraID>33EF9FEB</paraID>
      <start>0</start>
      <end>1</end>
      <status>unmodified</status>
      <modifiedWord/>
      <trackRevisions>false</trackRevisions>
    </reviewItem>
    <reviewItem>
      <errorID>ae99c2af-1765-4faf-aa07-ac51a949fa2e</errorID>
      <errorWord>》</errorWord>
      <group>L1_Punc</group>
      <groupName>标点问题</groupName>
      <ability>L2_Punc</ability>
      <abilityName>标点符号检查</abilityName>
      <candidateList/>
      <explain>此处标点可能未正确匹配，请检查句子中是否存在标点冗余、缺失或使用错误的情况。</explain>
      <paraID> B9CEBA1</paraID>
      <start>2</start>
      <end>3</end>
      <status>unmodified</status>
      <modifiedWord/>
      <trackRevisions>false</trackRevisions>
    </reviewItem>
    <reviewItem>
      <errorID>f5b1de65-005a-40a5-acbc-467c188a7514</errorID>
      <errorWord>明</errorWord>
      <group>L1_Word</group>
      <groupName>字词问题</groupName>
      <ability>L2_Typo</ability>
      <abilityName>字词错误</abilityName>
      <candidateList>
        <item>明了</item>
      </candidateList>
      <explain/>
      <paraID>2B114618</paraID>
      <start>33</start>
      <end>34</end>
      <status>ignored</status>
      <modifiedWord/>
      <trackRevisions>false</trackRevisions>
    </reviewItem>
    <reviewItem>
      <errorID>9feda811-7b71-40a5-b449-b5161bce1753</errorID>
      <errorWord>”</errorWord>
      <group>L1_Punc</group>
      <groupName>标点问题</groupName>
      <ability>L2_Punc</ability>
      <abilityName>标点符号检查</abilityName>
      <candidateList/>
      <explain>此处标点可能未正确匹配，请检查句子中是否存在标点冗余、缺失或使用错误的情况。</explain>
      <paraID>540CBFC9</paraID>
      <start>71</start>
      <end>72</end>
      <status>unmodified</status>
      <modifiedWord/>
      <trackRevisions>false</trackRevisions>
    </reviewItem>
    <reviewItem>
      <errorID>a181671f-45b5-4be1-982a-a7647b6f39f5</errorID>
      <errorWord>档案与</errorWord>
      <group>L1_Word</group>
      <groupName>字词问题</groupName>
      <ability>L2_Typo</ability>
      <abilityName>字词错误</abilityName>
      <candidateList>
        <item>档案</item>
      </candidateList>
      <explain/>
      <paraID>5C25BBF2</paraID>
      <start>3</start>
      <end>5</end>
      <status>modified</status>
      <modifiedWord>档案</modifiedWord>
      <trackRevisions>false</trackRevisions>
    </reviewItem>
    <reviewItem>
      <errorID>83716d52-3f44-482e-aa95-42d3f2e3a612</errorID>
      <errorWord>全流程监督</errorWord>
      <group>L1_Political</group>
      <groupName>政治性问题</groupName>
      <ability>L2_Keyword</ability>
      <abilityName>固定表述</abilityName>
      <candidateList>
        <item>全过程监督</item>
      </candidateList>
      <explain>词汇“全过程监督”在特定场景下为固定表述形式，请确认此处的“全流程监督”是否存在不当。</explain>
      <paraID>2A32DF61</paraID>
      <start>12</start>
      <end>17</end>
      <status>modified</status>
      <modifiedWord>全过程监督</modifiedWord>
      <trackRevisions>false</trackRevisions>
    </reviewItem>
    <reviewItem>
      <errorID>2fce4b36-fb4b-42d3-9832-08f91417a202</errorID>
      <errorWord>原由</errorWord>
      <group>L1_Word</group>
      <groupName>字词问题</groupName>
      <ability>L2_Variant</ability>
      <abilityName>异形词</abilityName>
      <candidateList>
        <item>缘由</item>
      </candidateList>
      <explain>词汇[原由]的规范词形写作[缘由]。</explain>
      <paraID>754B5A18</paraID>
      <start>5</start>
      <end>7</end>
      <status>ignored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3819eb8a-74c5-4fa7-9d86-f27a26d3a43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2826</Words>
  <Characters>2920</Characters>
  <Lines>0</Lines>
  <Paragraphs>0</Paragraphs>
  <TotalTime>18</TotalTime>
  <ScaleCrop>false</ScaleCrop>
  <LinksUpToDate>false</LinksUpToDate>
  <CharactersWithSpaces>2923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2025-10-27T07:06:00Z</dcterms:created>
  <dc:creator>Administrator</dc:creator>
  <cp:lastModifiedBy>金旻</cp:lastModifiedBy>
  <dcterms:modified xsi:type="dcterms:W3CDTF">2026-04-02T08:33:40Z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627DFF0C17DD4FF3B15E4C083A54795B_12</vt:lpwstr>
  </property>
  <property fmtid="{D5CDD505-2E9C-101B-9397-08002B2CF9AE}" pid="4" name="KSOTemplateDocerSaveRecord">
    <vt:lpwstr>eyJoZGlkIjoiZDNjYzk5MGQyMzk5ZGUwZTg2ZjAxYmQxMzA3MzFkZmUiLCJ1c2VySWQiOiIxMzYyMjE2NzQ5In0=</vt:lpwstr>
  </property>
</Properties>
</file>