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4B2CF"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snapToGrid w:val="0"/>
          <w:color w:val="000000"/>
          <w:kern w:val="0"/>
          <w:sz w:val="43"/>
          <w:szCs w:val="43"/>
          <w:lang w:val="en-US" w:eastAsia="zh-CN" w:bidi="ar"/>
        </w:rPr>
      </w:pPr>
      <w:bookmarkStart w:id="0" w:name="_Toc228441877"/>
      <w:r>
        <w:rPr>
          <w:rFonts w:ascii="方正小标宋简体" w:hAnsi="方正小标宋简体" w:eastAsia="方正小标宋简体" w:cs="方正小标宋简体"/>
          <w:snapToGrid w:val="0"/>
          <w:color w:val="000000"/>
          <w:kern w:val="0"/>
          <w:sz w:val="43"/>
          <w:szCs w:val="43"/>
          <w:lang w:val="en-US" w:eastAsia="zh-CN" w:bidi="ar"/>
        </w:rPr>
        <w:t>《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/>
          <w:kern w:val="0"/>
          <w:sz w:val="43"/>
          <w:szCs w:val="43"/>
          <w:lang w:val="en-US" w:eastAsia="zh-CN" w:bidi="ar"/>
        </w:rPr>
        <w:t>东至县</w:t>
      </w:r>
      <w:r>
        <w:rPr>
          <w:rFonts w:ascii="方正小标宋简体" w:hAnsi="方正小标宋简体" w:eastAsia="方正小标宋简体" w:cs="方正小标宋简体"/>
          <w:snapToGrid w:val="0"/>
          <w:color w:val="000000"/>
          <w:kern w:val="0"/>
          <w:sz w:val="43"/>
          <w:szCs w:val="43"/>
          <w:lang w:val="en-US" w:eastAsia="zh-CN" w:bidi="ar"/>
        </w:rPr>
        <w:t>国土空间规划动态维护方案（202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/>
          <w:kern w:val="0"/>
          <w:sz w:val="43"/>
          <w:szCs w:val="43"/>
          <w:lang w:val="en-US" w:eastAsia="zh-CN" w:bidi="ar"/>
        </w:rPr>
        <w:t>6</w:t>
      </w:r>
      <w:r>
        <w:rPr>
          <w:rFonts w:ascii="方正小标宋简体" w:hAnsi="方正小标宋简体" w:eastAsia="方正小标宋简体" w:cs="方正小标宋简体"/>
          <w:snapToGrid w:val="0"/>
          <w:color w:val="000000"/>
          <w:kern w:val="0"/>
          <w:sz w:val="43"/>
          <w:szCs w:val="43"/>
          <w:lang w:val="en-US" w:eastAsia="zh-CN" w:bidi="ar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/>
          <w:kern w:val="0"/>
          <w:sz w:val="43"/>
          <w:szCs w:val="43"/>
          <w:lang w:val="en-US" w:eastAsia="zh-CN" w:bidi="ar"/>
        </w:rPr>
        <w:t>年度）》（公示稿）</w:t>
      </w:r>
    </w:p>
    <w:p w14:paraId="124D6F01"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snapToGrid w:val="0"/>
          <w:color w:val="000000"/>
          <w:kern w:val="0"/>
          <w:sz w:val="43"/>
          <w:szCs w:val="43"/>
          <w:lang w:val="en-US" w:eastAsia="zh-CN" w:bidi="ar"/>
        </w:rPr>
      </w:pPr>
    </w:p>
    <w:bookmarkEnd w:id="0"/>
    <w:p w14:paraId="1FAD0C0E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"/>
          <w:spacing w:val="9"/>
          <w:sz w:val="32"/>
          <w:szCs w:val="32"/>
          <w:lang w:eastAsia="zh-CN"/>
        </w:rPr>
        <w:t>本次动态维护工作基于《</w:t>
      </w: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东至县</w:t>
      </w:r>
      <w:r>
        <w:rPr>
          <w:rFonts w:hint="eastAsia" w:ascii="仿宋_GB2312" w:hAnsi="仿宋" w:eastAsia="仿宋_GB2312" w:cs="仿宋"/>
          <w:spacing w:val="9"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5</w:t>
      </w:r>
      <w:bookmarkStart w:id="1" w:name="_GoBack"/>
      <w:bookmarkEnd w:id="1"/>
      <w:r>
        <w:rPr>
          <w:rFonts w:hint="eastAsia" w:ascii="仿宋_GB2312" w:hAnsi="仿宋" w:eastAsia="仿宋_GB2312" w:cs="仿宋"/>
          <w:spacing w:val="9"/>
          <w:sz w:val="32"/>
          <w:szCs w:val="32"/>
          <w:lang w:eastAsia="zh-CN"/>
        </w:rPr>
        <w:t>年度国土空间规划实施体检评估报告》的相关结论与建议，重点围绕促进耕地集中连片、优化城镇功能布局、保障新质生产力项目展开。维护方案聚焦目标战略深化落实、功能格局持续稳定、空间要素精准保障，着力支持“十五五”规划及县域发展轴专项规划项目，优先化解项目落地中的用地矛盾，持续提升城市功能品质与土地利用效益。</w:t>
      </w:r>
    </w:p>
    <w:p w14:paraId="6D8D306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beforeLines="50" w:after="120" w:afterLines="50" w:line="560" w:lineRule="exact"/>
        <w:ind w:firstLine="654" w:firstLineChars="200"/>
        <w:jc w:val="both"/>
        <w:textAlignment w:val="baseline"/>
        <w:outlineLvl w:val="0"/>
        <w:rPr>
          <w:rFonts w:hint="eastAsia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  <w:t>一、深化落实目标战略</w:t>
      </w:r>
    </w:p>
    <w:p w14:paraId="0115AC6B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充分衔接“十五五”规划纲要，锚定“三地一区”实现新突破和取得“三个新的更大进展”目标，全面落实上级总体规划目标指标；以打造“</w:t>
      </w:r>
      <w:r>
        <w:rPr>
          <w:rFonts w:hint="eastAsia" w:ascii="仿宋_GB2312" w:hAnsi="仿宋" w:eastAsia="仿宋_GB2312" w:cs="仿宋"/>
          <w:spacing w:val="9"/>
          <w:sz w:val="32"/>
          <w:szCs w:val="32"/>
          <w:lang w:eastAsia="zh-CN"/>
        </w:rPr>
        <w:t>安徽省西南现代化滨江城市、尧舜之乡、现代化特色产业高地”</w:t>
      </w: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为目标，</w:t>
      </w:r>
      <w:r>
        <w:rPr>
          <w:rFonts w:ascii="Times New Roman" w:hAnsi="Times New Roman" w:eastAsia="仿宋_GB2312" w:cs="Times New Roman"/>
          <w:kern w:val="0"/>
          <w:sz w:val="32"/>
          <w:szCs w:val="30"/>
          <w14:ligatures w14:val="none"/>
        </w:rPr>
        <w:t>着力优化国土空间格局，加强国土空间开发保护</w:t>
      </w:r>
      <w:r>
        <w:rPr>
          <w:rFonts w:hint="eastAsia" w:ascii="Times New Roman" w:hAnsi="Times New Roman" w:eastAsia="仿宋_GB2312" w:cs="Times New Roman"/>
          <w:kern w:val="0"/>
          <w:sz w:val="32"/>
          <w:szCs w:val="30"/>
          <w:lang w:eastAsia="zh-CN"/>
          <w14:ligatures w14:val="none"/>
        </w:rPr>
        <w:t>，</w:t>
      </w: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奋力谱写中国式现代化东至新篇章。</w:t>
      </w:r>
    </w:p>
    <w:p w14:paraId="6A32BF4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beforeLines="50" w:after="120" w:afterLines="50" w:line="560" w:lineRule="exact"/>
        <w:ind w:firstLine="654" w:firstLineChars="200"/>
        <w:jc w:val="both"/>
        <w:textAlignment w:val="baseline"/>
        <w:outlineLvl w:val="0"/>
        <w:rPr>
          <w:rFonts w:hint="default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  <w:t>二、维护重要控制线</w:t>
      </w:r>
    </w:p>
    <w:p w14:paraId="7E5356EF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以优化农业生产力布局、促进适度规模经营为目标，衔接多田套合、耕林园专项等相关工作，动态维护永久基本农田保护红线，维护后总面积63.43万亩，不低于永久基本农田保护任务，确保总量不减少、质量有提升、布局更合理、集中连片度提高。</w:t>
      </w:r>
    </w:p>
    <w:p w14:paraId="3787B068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以优化城镇发展格局、增强城镇发展动能为目标，衔接“十五五”发展规划和发展轴专项规划等，在严守城镇开发边界扩展倍数的前提下，聚焦中心城区建设，重点围绕“十五五”重点产业平台，以及公共服务设施及基础设施一体化，动态维护城镇开发边界，维护后扩展倍数保持1.33不变。</w:t>
      </w:r>
    </w:p>
    <w:p w14:paraId="1E4303A6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坚持底线思维与民生优先并重，紧密衔接相关国土空间专项规划，动态维护其他重要控制线，重点校核控制线的管控名录和范围边界，确保各类控制线布局合理、管控有效。</w:t>
      </w:r>
    </w:p>
    <w:p w14:paraId="13F2F45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beforeLines="50" w:after="120" w:afterLines="50" w:line="560" w:lineRule="exact"/>
        <w:ind w:firstLine="654" w:firstLineChars="200"/>
        <w:jc w:val="both"/>
        <w:textAlignment w:val="baseline"/>
        <w:outlineLvl w:val="0"/>
        <w:rPr>
          <w:rFonts w:hint="default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  <w:t>三、合理优化规划分区</w:t>
      </w:r>
    </w:p>
    <w:p w14:paraId="2BFF30CB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依据永久基本农田、城镇开发边界的动态维护优化成果，以空间战略格局优化为导向，对农田保护区、城镇发展区进行优化调整，并同步联动优化乡村发展区等布局，确保各分区主导功能稳定、空间布局集中连片、整体格局完整联通。</w:t>
      </w:r>
    </w:p>
    <w:p w14:paraId="7CB7847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beforeLines="50" w:after="120" w:afterLines="50" w:line="560" w:lineRule="exact"/>
        <w:ind w:firstLine="654" w:firstLineChars="200"/>
        <w:jc w:val="both"/>
        <w:textAlignment w:val="baseline"/>
        <w:outlineLvl w:val="0"/>
        <w:rPr>
          <w:rFonts w:hint="default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  <w:t>四、完善中心城区功能体系</w:t>
      </w:r>
    </w:p>
    <w:p w14:paraId="7199B9D7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衔接低效用地再开发等专项规划，优化中心城区土地使用和功能布局，完善城区功能和优化空间结构。统筹各级生活圈建设，完善教育、医疗、养老等公共服务设施布局，完善蓝绿开敞空间系统，鼓励建设用地功能复合利用，推动新产业、新业态等新质生产力发展。</w:t>
      </w:r>
    </w:p>
    <w:p w14:paraId="467C7A2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beforeLines="50" w:after="120" w:afterLines="50" w:line="560" w:lineRule="exact"/>
        <w:ind w:firstLine="654" w:firstLineChars="200"/>
        <w:jc w:val="both"/>
        <w:textAlignment w:val="baseline"/>
        <w:outlineLvl w:val="0"/>
        <w:rPr>
          <w:rFonts w:hint="default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  <w:t>五、促进城乡融合发展</w:t>
      </w:r>
    </w:p>
    <w:p w14:paraId="6112E115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衔接县域发展轴、多田套合、全域土地整治、生态修复等专项规划，完善促进城乡一体化融合发展的空间布局，推进城乡交通网络互联互通、城乡产业协同发展、城乡公共配套设施均等化支撑体系建设。</w:t>
      </w:r>
    </w:p>
    <w:p w14:paraId="4B90E38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beforeLines="50" w:after="120" w:afterLines="50" w:line="560" w:lineRule="exact"/>
        <w:ind w:firstLine="654" w:firstLineChars="200"/>
        <w:jc w:val="both"/>
        <w:textAlignment w:val="baseline"/>
        <w:outlineLvl w:val="0"/>
        <w:rPr>
          <w:rFonts w:hint="default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  <w:t>六、更新年度重点项目清单</w:t>
      </w:r>
    </w:p>
    <w:p w14:paraId="7C6D2EFA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结合“十五五”规划及国家重大战略落实，以“十五五”重大建设项目清单为基础，衔接各类专项规划，精准排摸梳理基础扎实、实施条件较好、实施诉求强烈的年度重点项目，全面开展交通、能源、电力、水利等重点领域重点项目增补与校核更新工作，强化项目空间保障，推动规划落地实施，维护重点建设项目1735个。</w:t>
      </w:r>
    </w:p>
    <w:p w14:paraId="066AE55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beforeLines="50" w:after="120" w:afterLines="50" w:line="560" w:lineRule="exact"/>
        <w:ind w:firstLine="654" w:firstLineChars="200"/>
        <w:jc w:val="both"/>
        <w:textAlignment w:val="baseline"/>
        <w:outlineLvl w:val="0"/>
        <w:rPr>
          <w:rFonts w:hint="eastAsia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  <w:t xml:space="preserve">七、规划动态维护成效 </w:t>
      </w:r>
    </w:p>
    <w:p w14:paraId="35E0BE22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本次国土空间规划动态维护方案严守空间安全底线，各项调整均未突破上位规划确定的约束性指标，未改变全域总体空间结构与格局，有效化解了规划实施中存在的空间矛盾。通过本次优化，底线管控进一步夯实，规划实施效能有效提升，城镇空间布局更加科学完善，重大项目落地得到坚实保障，为东至县高质量发展提供了有力的空间支撑。</w:t>
      </w:r>
    </w:p>
    <w:p w14:paraId="432F5C6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beforeLines="50" w:after="120" w:afterLines="50" w:line="560" w:lineRule="exact"/>
        <w:ind w:firstLine="654" w:firstLineChars="200"/>
        <w:jc w:val="both"/>
        <w:textAlignment w:val="baseline"/>
        <w:outlineLvl w:val="0"/>
        <w:rPr>
          <w:rFonts w:hint="eastAsia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color w:val="000000"/>
          <w:spacing w:val="8"/>
          <w:kern w:val="0"/>
          <w:sz w:val="31"/>
          <w:szCs w:val="31"/>
          <w:lang w:val="en-US" w:eastAsia="zh-CN"/>
        </w:rPr>
        <w:t xml:space="preserve">八、图纸 </w:t>
      </w:r>
    </w:p>
    <w:p w14:paraId="64D59A69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default" w:ascii="仿宋_GB2312" w:hAnsi="仿宋" w:eastAsia="仿宋_GB2312" w:cs="仿宋"/>
          <w:spacing w:val="9"/>
          <w:sz w:val="32"/>
          <w:szCs w:val="32"/>
          <w:lang w:val="en-US" w:eastAsia="zh-CN"/>
        </w:rPr>
        <w:t>1.</w:t>
      </w: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 xml:space="preserve">县域国土空间总体格局规划图 </w:t>
      </w:r>
    </w:p>
    <w:p w14:paraId="6C71373C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default" w:ascii="仿宋_GB2312" w:hAnsi="仿宋" w:eastAsia="仿宋_GB2312" w:cs="仿宋"/>
          <w:spacing w:val="9"/>
          <w:sz w:val="32"/>
          <w:szCs w:val="32"/>
          <w:lang w:val="en-US" w:eastAsia="zh-CN"/>
        </w:rPr>
        <w:t>2.</w:t>
      </w: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 xml:space="preserve">维护后的重要控制线图 </w:t>
      </w:r>
    </w:p>
    <w:p w14:paraId="6D5EBDB3">
      <w:pPr>
        <w:kinsoku/>
        <w:overflowPunct w:val="0"/>
        <w:spacing w:line="560" w:lineRule="exact"/>
        <w:ind w:firstLine="676" w:firstLineChars="200"/>
        <w:jc w:val="both"/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</w:pPr>
      <w:r>
        <w:rPr>
          <w:rFonts w:hint="default" w:ascii="仿宋_GB2312" w:hAnsi="仿宋" w:eastAsia="仿宋_GB2312" w:cs="仿宋"/>
          <w:spacing w:val="9"/>
          <w:sz w:val="32"/>
          <w:szCs w:val="32"/>
          <w:lang w:val="en-US" w:eastAsia="zh-CN"/>
        </w:rPr>
        <w:t>3.</w:t>
      </w:r>
      <w:r>
        <w:rPr>
          <w:rFonts w:hint="eastAsia" w:ascii="仿宋_GB2312" w:hAnsi="仿宋" w:eastAsia="仿宋_GB2312" w:cs="仿宋"/>
          <w:spacing w:val="9"/>
          <w:sz w:val="32"/>
          <w:szCs w:val="32"/>
          <w:lang w:val="en-US" w:eastAsia="zh-CN"/>
        </w:rPr>
        <w:t>维护后的国土空间用途分区规划图</w:t>
      </w:r>
    </w:p>
    <w:p w14:paraId="2EEC4B3B">
      <w:pPr>
        <w:outlineLvl w:val="9"/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6" w:h="16839"/>
      <w:pgMar w:top="1440" w:right="1800" w:bottom="1440" w:left="1800" w:header="0" w:footer="967" w:gutter="0"/>
      <w:cols w:space="720" w:num="1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27BCFDE-E4F5-44CF-8CAE-0EE50BE97A5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14CE5796-46CC-44EA-B557-0BAB2B576F4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42495466-8E4C-4584-8075-32FC633681A0}"/>
  </w:font>
  <w:font w:name="仿宋_GB2312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3DA8ED1E-E0DF-400C-8615-D268CB4BE2C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7AB417">
    <w:pPr>
      <w:spacing w:line="243" w:lineRule="exact"/>
      <w:ind w:left="4264"/>
      <w:rPr>
        <w:rFonts w:hint="eastAsia" w:ascii="仿宋" w:hAnsi="仿宋" w:eastAsia="仿宋" w:cs="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2" name="文本框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CA5E6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PQ64MtAgAAVwQAAA4AAABkcnMvZTJvRG9jLnhtbK1UzY7TMBC+I/EO&#10;lu80aYFVVT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NPQ64M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26CA5E6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4702A3">
    <w:pPr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3"/>
    <w:multiLevelType w:val="multilevel"/>
    <w:tmpl w:val="00000003"/>
    <w:lvl w:ilvl="0" w:tentative="0">
      <w:start w:val="1"/>
      <w:numFmt w:val="none"/>
      <w:pStyle w:val="15"/>
      <w:lvlText w:val="表"/>
      <w:lvlJc w:val="left"/>
      <w:pPr>
        <w:tabs>
          <w:tab w:val="left" w:pos="360"/>
        </w:tabs>
        <w:ind w:left="0" w:firstLine="0"/>
      </w:pPr>
      <w:rPr>
        <w:rFonts w:hint="eastAsia" w:ascii="黑体" w:eastAsia="黑体"/>
        <w:b w:val="0"/>
        <w:i w:val="0"/>
        <w:sz w:val="21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76310"/>
    <w:rsid w:val="00172A27"/>
    <w:rsid w:val="001D5FB4"/>
    <w:rsid w:val="00257AE8"/>
    <w:rsid w:val="003025A5"/>
    <w:rsid w:val="0044489B"/>
    <w:rsid w:val="006645D7"/>
    <w:rsid w:val="006B14F4"/>
    <w:rsid w:val="0077097D"/>
    <w:rsid w:val="007D71E4"/>
    <w:rsid w:val="007F27CB"/>
    <w:rsid w:val="008B11A2"/>
    <w:rsid w:val="009F1F81"/>
    <w:rsid w:val="00A91CC2"/>
    <w:rsid w:val="00B55E9F"/>
    <w:rsid w:val="00B7256E"/>
    <w:rsid w:val="00BC68A6"/>
    <w:rsid w:val="00D772C2"/>
    <w:rsid w:val="00D93886"/>
    <w:rsid w:val="00DD25A1"/>
    <w:rsid w:val="00F042BD"/>
    <w:rsid w:val="00F36677"/>
    <w:rsid w:val="00F50CDF"/>
    <w:rsid w:val="01176EA7"/>
    <w:rsid w:val="01E0373D"/>
    <w:rsid w:val="02AE1145"/>
    <w:rsid w:val="02DA6FE9"/>
    <w:rsid w:val="03030BB2"/>
    <w:rsid w:val="032D29B2"/>
    <w:rsid w:val="03816D4F"/>
    <w:rsid w:val="043E7102"/>
    <w:rsid w:val="05E01F5E"/>
    <w:rsid w:val="05FD666C"/>
    <w:rsid w:val="06652463"/>
    <w:rsid w:val="07FB6BDB"/>
    <w:rsid w:val="080B1FDA"/>
    <w:rsid w:val="08386081"/>
    <w:rsid w:val="086D0E3E"/>
    <w:rsid w:val="08C6543B"/>
    <w:rsid w:val="09067F2D"/>
    <w:rsid w:val="09271C52"/>
    <w:rsid w:val="096D58B6"/>
    <w:rsid w:val="09907D5D"/>
    <w:rsid w:val="09A82D92"/>
    <w:rsid w:val="09CB6A81"/>
    <w:rsid w:val="09E87633"/>
    <w:rsid w:val="0A04716E"/>
    <w:rsid w:val="0A3E7253"/>
    <w:rsid w:val="0A4C5E14"/>
    <w:rsid w:val="0A5B2638"/>
    <w:rsid w:val="0A692F6B"/>
    <w:rsid w:val="0ABE2142"/>
    <w:rsid w:val="0AC736EC"/>
    <w:rsid w:val="0AF73FD1"/>
    <w:rsid w:val="0BC87F6C"/>
    <w:rsid w:val="0BCB720C"/>
    <w:rsid w:val="0C0A55FD"/>
    <w:rsid w:val="0C1A784C"/>
    <w:rsid w:val="0DC43F13"/>
    <w:rsid w:val="0DDD6D83"/>
    <w:rsid w:val="0DE325EB"/>
    <w:rsid w:val="0E5E1C72"/>
    <w:rsid w:val="0E7019A5"/>
    <w:rsid w:val="0E813BB2"/>
    <w:rsid w:val="0F0374FE"/>
    <w:rsid w:val="0FA97864"/>
    <w:rsid w:val="10EE19D3"/>
    <w:rsid w:val="12A01831"/>
    <w:rsid w:val="1389504F"/>
    <w:rsid w:val="14E530ED"/>
    <w:rsid w:val="14F52C04"/>
    <w:rsid w:val="164200CB"/>
    <w:rsid w:val="16BD3659"/>
    <w:rsid w:val="16CC3B78"/>
    <w:rsid w:val="16F74821"/>
    <w:rsid w:val="1772678E"/>
    <w:rsid w:val="17F04282"/>
    <w:rsid w:val="18567E5D"/>
    <w:rsid w:val="18736C61"/>
    <w:rsid w:val="1A435DAC"/>
    <w:rsid w:val="1A642D06"/>
    <w:rsid w:val="1A9F5AEC"/>
    <w:rsid w:val="1B2E004D"/>
    <w:rsid w:val="1CD001DE"/>
    <w:rsid w:val="1D7A4A37"/>
    <w:rsid w:val="1D9C27B6"/>
    <w:rsid w:val="1DD97567"/>
    <w:rsid w:val="1E4E3279"/>
    <w:rsid w:val="1F51312D"/>
    <w:rsid w:val="20340A84"/>
    <w:rsid w:val="204D5FEA"/>
    <w:rsid w:val="212E7BC9"/>
    <w:rsid w:val="22DB2BCF"/>
    <w:rsid w:val="233A0AA7"/>
    <w:rsid w:val="237B69CA"/>
    <w:rsid w:val="23B87C1E"/>
    <w:rsid w:val="23DA1943"/>
    <w:rsid w:val="245636BF"/>
    <w:rsid w:val="24CF521F"/>
    <w:rsid w:val="266B0F78"/>
    <w:rsid w:val="26926686"/>
    <w:rsid w:val="27037402"/>
    <w:rsid w:val="27235B32"/>
    <w:rsid w:val="27271343"/>
    <w:rsid w:val="27C546B8"/>
    <w:rsid w:val="28575C58"/>
    <w:rsid w:val="28A15125"/>
    <w:rsid w:val="294F2DD3"/>
    <w:rsid w:val="29AA7219"/>
    <w:rsid w:val="2A0239A1"/>
    <w:rsid w:val="2A427557"/>
    <w:rsid w:val="2A5A37DD"/>
    <w:rsid w:val="2A781EB5"/>
    <w:rsid w:val="2AD215C5"/>
    <w:rsid w:val="2B230073"/>
    <w:rsid w:val="2BF8505C"/>
    <w:rsid w:val="2BFE640C"/>
    <w:rsid w:val="2CBE7678"/>
    <w:rsid w:val="2D686211"/>
    <w:rsid w:val="2E320B39"/>
    <w:rsid w:val="2E4839E5"/>
    <w:rsid w:val="2ECC6396"/>
    <w:rsid w:val="2F177EEF"/>
    <w:rsid w:val="2F762E67"/>
    <w:rsid w:val="2F974B8C"/>
    <w:rsid w:val="2FA07EE4"/>
    <w:rsid w:val="2FD47B8E"/>
    <w:rsid w:val="2FD83C4E"/>
    <w:rsid w:val="310149B3"/>
    <w:rsid w:val="313703D4"/>
    <w:rsid w:val="31994BEB"/>
    <w:rsid w:val="31A0509F"/>
    <w:rsid w:val="322A1CE7"/>
    <w:rsid w:val="337C47C4"/>
    <w:rsid w:val="33A37FA3"/>
    <w:rsid w:val="34056568"/>
    <w:rsid w:val="34394463"/>
    <w:rsid w:val="343C71AB"/>
    <w:rsid w:val="348C5750"/>
    <w:rsid w:val="34B451A4"/>
    <w:rsid w:val="34BE493A"/>
    <w:rsid w:val="351D5B33"/>
    <w:rsid w:val="35B77D36"/>
    <w:rsid w:val="36407D2B"/>
    <w:rsid w:val="3700570C"/>
    <w:rsid w:val="377D0B0B"/>
    <w:rsid w:val="385C6972"/>
    <w:rsid w:val="38683569"/>
    <w:rsid w:val="38B13162"/>
    <w:rsid w:val="392576AC"/>
    <w:rsid w:val="39665CFB"/>
    <w:rsid w:val="39A21D90"/>
    <w:rsid w:val="3A6A6B44"/>
    <w:rsid w:val="3D145AA1"/>
    <w:rsid w:val="3D2008B6"/>
    <w:rsid w:val="3D3D3216"/>
    <w:rsid w:val="3D7309E6"/>
    <w:rsid w:val="3E0E1FAB"/>
    <w:rsid w:val="3E32264F"/>
    <w:rsid w:val="3E3F4D6C"/>
    <w:rsid w:val="3E4B1963"/>
    <w:rsid w:val="3EC86B10"/>
    <w:rsid w:val="3EFD2755"/>
    <w:rsid w:val="3F367F1D"/>
    <w:rsid w:val="3F746C97"/>
    <w:rsid w:val="3F852C53"/>
    <w:rsid w:val="4096180C"/>
    <w:rsid w:val="41027D27"/>
    <w:rsid w:val="417A5FC0"/>
    <w:rsid w:val="417E08E6"/>
    <w:rsid w:val="41913B31"/>
    <w:rsid w:val="41FB2309"/>
    <w:rsid w:val="41FD4D22"/>
    <w:rsid w:val="422601E3"/>
    <w:rsid w:val="429F5DD9"/>
    <w:rsid w:val="433A2FC3"/>
    <w:rsid w:val="43601655"/>
    <w:rsid w:val="44194964"/>
    <w:rsid w:val="442340B7"/>
    <w:rsid w:val="44DF2E05"/>
    <w:rsid w:val="45A81449"/>
    <w:rsid w:val="45AA6F6F"/>
    <w:rsid w:val="461F6144"/>
    <w:rsid w:val="473531B0"/>
    <w:rsid w:val="47422AD1"/>
    <w:rsid w:val="474D674C"/>
    <w:rsid w:val="47573126"/>
    <w:rsid w:val="47745A86"/>
    <w:rsid w:val="48D11064"/>
    <w:rsid w:val="49EA2030"/>
    <w:rsid w:val="4A895743"/>
    <w:rsid w:val="4A993A56"/>
    <w:rsid w:val="4ADF590D"/>
    <w:rsid w:val="4AE66C9B"/>
    <w:rsid w:val="4B182BCD"/>
    <w:rsid w:val="4C7B1665"/>
    <w:rsid w:val="4CC34DBA"/>
    <w:rsid w:val="4D4E0B28"/>
    <w:rsid w:val="4D8A359A"/>
    <w:rsid w:val="4DAE5A6A"/>
    <w:rsid w:val="4DBE1B32"/>
    <w:rsid w:val="4E192EE4"/>
    <w:rsid w:val="4E393586"/>
    <w:rsid w:val="4F5F63A7"/>
    <w:rsid w:val="4F7F76BE"/>
    <w:rsid w:val="4FB6441D"/>
    <w:rsid w:val="50412F69"/>
    <w:rsid w:val="506A5C79"/>
    <w:rsid w:val="506D39BB"/>
    <w:rsid w:val="50F814D6"/>
    <w:rsid w:val="515661FD"/>
    <w:rsid w:val="51C9315E"/>
    <w:rsid w:val="51CB6BEB"/>
    <w:rsid w:val="51DF2696"/>
    <w:rsid w:val="51E3650C"/>
    <w:rsid w:val="526B3F2A"/>
    <w:rsid w:val="549F7EBB"/>
    <w:rsid w:val="54F40207"/>
    <w:rsid w:val="5524161D"/>
    <w:rsid w:val="555A0DDC"/>
    <w:rsid w:val="55D32512"/>
    <w:rsid w:val="560501F2"/>
    <w:rsid w:val="56494582"/>
    <w:rsid w:val="565C42B5"/>
    <w:rsid w:val="56F84900"/>
    <w:rsid w:val="571141E6"/>
    <w:rsid w:val="580D0461"/>
    <w:rsid w:val="58D30498"/>
    <w:rsid w:val="58E86FA3"/>
    <w:rsid w:val="59066C26"/>
    <w:rsid w:val="59CB7611"/>
    <w:rsid w:val="59FA6FA9"/>
    <w:rsid w:val="5C1B251D"/>
    <w:rsid w:val="5D9E51B4"/>
    <w:rsid w:val="5E435D5B"/>
    <w:rsid w:val="5E895E64"/>
    <w:rsid w:val="5EB341C0"/>
    <w:rsid w:val="5ED74E21"/>
    <w:rsid w:val="5F047298"/>
    <w:rsid w:val="5F21609C"/>
    <w:rsid w:val="5F3D4E58"/>
    <w:rsid w:val="60635F2D"/>
    <w:rsid w:val="609028F6"/>
    <w:rsid w:val="609E371C"/>
    <w:rsid w:val="61023CAB"/>
    <w:rsid w:val="61AB7E9F"/>
    <w:rsid w:val="61D95824"/>
    <w:rsid w:val="620121B5"/>
    <w:rsid w:val="62F35FA1"/>
    <w:rsid w:val="630E6937"/>
    <w:rsid w:val="6367429A"/>
    <w:rsid w:val="63DE0680"/>
    <w:rsid w:val="64A10CEF"/>
    <w:rsid w:val="64CB2EC5"/>
    <w:rsid w:val="64E536C8"/>
    <w:rsid w:val="652F0DE7"/>
    <w:rsid w:val="65A24ABB"/>
    <w:rsid w:val="65A672FB"/>
    <w:rsid w:val="660C5547"/>
    <w:rsid w:val="67542D87"/>
    <w:rsid w:val="67770DF7"/>
    <w:rsid w:val="67B657F0"/>
    <w:rsid w:val="67E67E83"/>
    <w:rsid w:val="6818150B"/>
    <w:rsid w:val="68623356"/>
    <w:rsid w:val="68656A71"/>
    <w:rsid w:val="687436E1"/>
    <w:rsid w:val="68D93E6E"/>
    <w:rsid w:val="696E6382"/>
    <w:rsid w:val="69B31FE7"/>
    <w:rsid w:val="6A244C92"/>
    <w:rsid w:val="6A4315BC"/>
    <w:rsid w:val="6A753740"/>
    <w:rsid w:val="6B056872"/>
    <w:rsid w:val="6B182A49"/>
    <w:rsid w:val="6B1E6A7D"/>
    <w:rsid w:val="6BA53BB1"/>
    <w:rsid w:val="6BAF67DE"/>
    <w:rsid w:val="6BD149A6"/>
    <w:rsid w:val="6CC85DA9"/>
    <w:rsid w:val="6CEF6790"/>
    <w:rsid w:val="6D605FE2"/>
    <w:rsid w:val="6DA87988"/>
    <w:rsid w:val="6DD15131"/>
    <w:rsid w:val="6DF162FB"/>
    <w:rsid w:val="6EB508A0"/>
    <w:rsid w:val="6FAD74D8"/>
    <w:rsid w:val="6FB97C2B"/>
    <w:rsid w:val="703E6382"/>
    <w:rsid w:val="705D2856"/>
    <w:rsid w:val="70FA6D60"/>
    <w:rsid w:val="70FC51E0"/>
    <w:rsid w:val="71A37405"/>
    <w:rsid w:val="71F66F14"/>
    <w:rsid w:val="721D6B97"/>
    <w:rsid w:val="72CD4EB3"/>
    <w:rsid w:val="73A86934"/>
    <w:rsid w:val="74793E2D"/>
    <w:rsid w:val="749913BC"/>
    <w:rsid w:val="74B84955"/>
    <w:rsid w:val="75BA46FD"/>
    <w:rsid w:val="75E878C7"/>
    <w:rsid w:val="766D781D"/>
    <w:rsid w:val="76E50438"/>
    <w:rsid w:val="77253507"/>
    <w:rsid w:val="779807BE"/>
    <w:rsid w:val="7892370F"/>
    <w:rsid w:val="7A0B19CB"/>
    <w:rsid w:val="7AA15E8B"/>
    <w:rsid w:val="7CA67789"/>
    <w:rsid w:val="7D8775BA"/>
    <w:rsid w:val="7DDD367E"/>
    <w:rsid w:val="7E325778"/>
    <w:rsid w:val="7F390BA5"/>
    <w:rsid w:val="7FC73101"/>
    <w:rsid w:val="7F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3"/>
    <w:basedOn w:val="1"/>
    <w:next w:val="1"/>
    <w:unhideWhenUsed/>
    <w:qFormat/>
    <w:uiPriority w:val="9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widowControl w:val="0"/>
      <w:kinsoku/>
      <w:overflowPunct w:val="0"/>
      <w:spacing w:line="360" w:lineRule="auto"/>
      <w:ind w:firstLine="640" w:firstLineChars="200"/>
      <w:jc w:val="both"/>
      <w:textAlignment w:val="auto"/>
    </w:pPr>
    <w:rPr>
      <w:rFonts w:ascii="Times New Roman" w:hAnsi="Times New Roman" w:eastAsia="仿宋" w:cstheme="minorBidi"/>
      <w:snapToGrid/>
      <w:color w:val="auto"/>
      <w:kern w:val="2"/>
      <w:sz w:val="32"/>
      <w:lang w:eastAsia="zh-CN"/>
      <w14:ligatures w14:val="standardContextual"/>
    </w:rPr>
  </w:style>
  <w:style w:type="paragraph" w:styleId="4">
    <w:name w:val="caption"/>
    <w:basedOn w:val="1"/>
    <w:next w:val="1"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5">
    <w:name w:val="Body Text"/>
    <w:basedOn w:val="1"/>
    <w:semiHidden/>
    <w:qFormat/>
    <w:uiPriority w:val="0"/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7">
    <w:name w:val="header"/>
    <w:basedOn w:val="1"/>
    <w:link w:val="16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8">
    <w:name w:val="toc 1"/>
    <w:basedOn w:val="1"/>
    <w:next w:val="1"/>
    <w:qFormat/>
    <w:uiPriority w:val="39"/>
  </w:style>
  <w:style w:type="paragraph" w:styleId="9">
    <w:name w:val="toc 2"/>
    <w:basedOn w:val="1"/>
    <w:next w:val="1"/>
    <w:qFormat/>
    <w:uiPriority w:val="39"/>
    <w:pPr>
      <w:ind w:left="420" w:leftChars="200"/>
    </w:pPr>
  </w:style>
  <w:style w:type="character" w:styleId="12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customStyle="1" w:styleId="1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Table Text"/>
    <w:basedOn w:val="1"/>
    <w:semiHidden/>
    <w:qFormat/>
    <w:uiPriority w:val="0"/>
    <w:rPr>
      <w:rFonts w:ascii="仿宋" w:hAnsi="仿宋" w:eastAsia="仿宋" w:cs="仿宋"/>
      <w:sz w:val="20"/>
      <w:szCs w:val="20"/>
    </w:rPr>
  </w:style>
  <w:style w:type="paragraph" w:customStyle="1" w:styleId="15">
    <w:name w:val="附录表标题"/>
    <w:next w:val="1"/>
    <w:qFormat/>
    <w:uiPriority w:val="0"/>
    <w:pPr>
      <w:numPr>
        <w:ilvl w:val="0"/>
        <w:numId w:val="1"/>
      </w:num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character" w:customStyle="1" w:styleId="16">
    <w:name w:val="页眉 字符"/>
    <w:basedOn w:val="11"/>
    <w:link w:val="7"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1354</Words>
  <Characters>1373</Characters>
  <Lines>270</Lines>
  <Paragraphs>76</Paragraphs>
  <TotalTime>324</TotalTime>
  <ScaleCrop>false</ScaleCrop>
  <LinksUpToDate>false</LinksUpToDate>
  <CharactersWithSpaces>1378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2026-04-30T03:25:00Z</dcterms:created>
  <dc:creator>lenovo</dc:creator>
  <cp:lastModifiedBy>Ωκεανός</cp:lastModifiedBy>
  <dcterms:modified xsi:type="dcterms:W3CDTF">2026-05-09T07:14:26Z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2026-03-23T20:32:15Z</vt:filetime>
  </property>
  <property fmtid="{D5CDD505-2E9C-101B-9397-08002B2CF9AE}" pid="4" name="KSOTemplateDocerSaveRecord">
    <vt:lpwstr>eyJoZGlkIjoiMDRmMzE5ZmQ1ODU0ZTU3MGRmMDY5ODU3Yzc2ZDU4MzAiLCJ1c2VySWQiOiIyMDAzODMyNTkifQ==</vt:lpwstr>
  </property>
  <property fmtid="{D5CDD505-2E9C-101B-9397-08002B2CF9AE}" pid="5" name="KSOProductBuildVer">
    <vt:lpwstr>2052-12.1.0.25865</vt:lpwstr>
  </property>
  <property fmtid="{D5CDD505-2E9C-101B-9397-08002B2CF9AE}" pid="6" name="ICV">
    <vt:lpwstr>C2469AEB939B4681B653A07EB350DE13_12</vt:lpwstr>
  </property>
</Properties>
</file>